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620" w:lineRule="exact"/>
        <w:jc w:val="both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620" w:lineRule="exact"/>
        <w:jc w:val="both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800" w:lineRule="exact"/>
        <w:jc w:val="both"/>
        <w:rPr>
          <w:rFonts w:hint="eastAsia" w:ascii="仿宋_GB2312" w:eastAsia="仿宋_GB2312"/>
          <w:sz w:val="32"/>
        </w:rPr>
      </w:pPr>
    </w:p>
    <w:p>
      <w:pPr>
        <w:spacing w:line="800" w:lineRule="exact"/>
        <w:jc w:val="center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32"/>
        </w:rPr>
        <w:t>合商商贸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620" w:lineRule="exact"/>
        <w:jc w:val="both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0"/>
          <w:sz w:val="44"/>
          <w:szCs w:val="44"/>
        </w:rPr>
        <w:t>关于印发</w:t>
      </w:r>
      <w:r>
        <w:rPr>
          <w:rFonts w:hint="eastAsia" w:ascii="方正小标宋简体" w:eastAsia="方正小标宋简体"/>
          <w:b/>
          <w:spacing w:val="-20"/>
          <w:w w:val="90"/>
          <w:sz w:val="44"/>
          <w:szCs w:val="44"/>
        </w:rPr>
        <w:t>《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合肥市餐饮行业制止餐饮浪费</w:t>
      </w: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服务规范</w:t>
      </w:r>
      <w:r>
        <w:rPr>
          <w:rFonts w:hint="eastAsia" w:ascii="方正小标宋简体" w:eastAsia="方正小标宋简体"/>
          <w:b/>
          <w:spacing w:val="-20"/>
          <w:w w:val="90"/>
          <w:sz w:val="44"/>
          <w:szCs w:val="44"/>
        </w:rPr>
        <w:t>》</w:t>
      </w:r>
      <w:r>
        <w:rPr>
          <w:rFonts w:hint="eastAsia" w:ascii="方正小标宋简体" w:eastAsia="方正小标宋简体"/>
          <w:spacing w:val="-20"/>
          <w:w w:val="90"/>
          <w:sz w:val="44"/>
          <w:szCs w:val="44"/>
        </w:rPr>
        <w:t>的通知</w:t>
      </w:r>
    </w:p>
    <w:p>
      <w:pPr>
        <w:spacing w:line="360" w:lineRule="exact"/>
        <w:jc w:val="center"/>
        <w:rPr>
          <w:rFonts w:hint="eastAsia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各县（市）区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开发区</w:t>
      </w:r>
      <w:r>
        <w:rPr>
          <w:rFonts w:hint="eastAsia" w:ascii="仿宋_GB2312" w:eastAsia="仿宋_GB2312"/>
          <w:sz w:val="32"/>
          <w:szCs w:val="32"/>
          <w:lang w:eastAsia="zh-CN"/>
        </w:rPr>
        <w:t>商务主管部门，</w:t>
      </w:r>
      <w:r>
        <w:rPr>
          <w:rFonts w:hint="eastAsia" w:ascii="仿宋_GB2312" w:eastAsia="仿宋_GB2312"/>
          <w:sz w:val="32"/>
          <w:szCs w:val="32"/>
        </w:rPr>
        <w:t>各有关企业：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贯彻落实《合肥市制止餐饮浪费行为条例》</w:t>
      </w:r>
      <w:r>
        <w:rPr>
          <w:rFonts w:hint="eastAsia" w:ascii="仿宋_GB2312" w:eastAsia="仿宋_GB2312"/>
          <w:sz w:val="32"/>
          <w:szCs w:val="32"/>
        </w:rPr>
        <w:t>，现将《合肥市餐饮行业制止餐饮浪费服务规范》印发给你们，并经市司法局依法登记（登记号：HFGS-202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030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认真</w:t>
      </w:r>
      <w:r>
        <w:rPr>
          <w:rFonts w:hint="eastAsia" w:ascii="仿宋_GB2312" w:eastAsia="仿宋_GB2312"/>
          <w:sz w:val="32"/>
          <w:szCs w:val="32"/>
        </w:rPr>
        <w:t>遵照执行。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right="-154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right="-154"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合肥市商务局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spacing w:line="500" w:lineRule="exact"/>
        <w:ind w:right="-15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</w:p>
    <w:p>
      <w:pPr>
        <w:spacing w:line="620" w:lineRule="exact"/>
        <w:jc w:val="both"/>
        <w:rPr>
          <w:rFonts w:hint="eastAsia" w:ascii="方正小标宋简体" w:hAnsi="华文中宋" w:eastAsia="方正小标宋简体" w:cs="宋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合肥市餐饮行业制止餐饮浪费服务规范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>为进一步提高我市餐饮行业服务水平和质量，营造良好的就餐环境，倡导文明、健康的饮食消费和文化，根据《合肥市制止餐饮浪费行为条例》规定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特制定本规范。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适用范围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本规范适用的餐饮企业，是指通过即时加工制作成品或半成品、商业销售和服务性劳动等，向消费者提供食品和消费场所及设施的企业。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二、经营</w:t>
      </w:r>
      <w:r>
        <w:rPr>
          <w:rFonts w:ascii="黑体" w:hAnsi="黑体" w:eastAsia="黑体"/>
          <w:sz w:val="32"/>
          <w:szCs w:val="32"/>
        </w:rPr>
        <w:t>管理</w:t>
      </w:r>
    </w:p>
    <w:p>
      <w:pPr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餐饮企业应明确专门管理人员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</w:rPr>
        <w:t>制止餐饮浪费工作</w:t>
      </w:r>
      <w:r>
        <w:rPr>
          <w:rFonts w:ascii="仿宋_GB2312" w:eastAsia="仿宋_GB2312"/>
          <w:sz w:val="32"/>
          <w:szCs w:val="32"/>
        </w:rPr>
        <w:t>，并且配备相应的人员</w:t>
      </w:r>
      <w:r>
        <w:rPr>
          <w:rFonts w:hint="eastAsia" w:ascii="仿宋_GB2312" w:eastAsia="仿宋_GB2312"/>
          <w:sz w:val="32"/>
          <w:szCs w:val="32"/>
        </w:rPr>
        <w:t>，建立健全制止餐饮浪费的相关管理制度及</w:t>
      </w:r>
      <w:r>
        <w:rPr>
          <w:rFonts w:ascii="仿宋_GB2312" w:eastAsia="仿宋_GB2312"/>
          <w:sz w:val="32"/>
          <w:szCs w:val="32"/>
        </w:rPr>
        <w:t>措施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强</w:t>
      </w:r>
      <w:r>
        <w:rPr>
          <w:rFonts w:ascii="仿宋_GB2312" w:eastAsia="仿宋_GB2312"/>
          <w:color w:val="auto"/>
          <w:sz w:val="32"/>
          <w:szCs w:val="32"/>
        </w:rPr>
        <w:t>化节约管理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ascii="仿宋_GB2312" w:eastAsia="仿宋_GB2312"/>
          <w:sz w:val="32"/>
          <w:szCs w:val="32"/>
        </w:rPr>
        <w:t>企业服务人员应具备</w:t>
      </w:r>
      <w:r>
        <w:rPr>
          <w:rFonts w:hint="eastAsia" w:ascii="仿宋_GB2312" w:eastAsia="仿宋_GB2312"/>
          <w:sz w:val="32"/>
          <w:szCs w:val="32"/>
        </w:rPr>
        <w:t>制止餐饮浪费的意识</w:t>
      </w:r>
      <w:r>
        <w:rPr>
          <w:rFonts w:ascii="仿宋_GB2312" w:eastAsia="仿宋_GB2312"/>
          <w:sz w:val="32"/>
          <w:szCs w:val="32"/>
        </w:rPr>
        <w:t>和能力，参加相关培训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熟练掌握服务</w:t>
      </w:r>
      <w:r>
        <w:rPr>
          <w:rFonts w:hint="eastAsia" w:ascii="仿宋_GB2312" w:eastAsia="仿宋_GB2312"/>
          <w:sz w:val="32"/>
          <w:szCs w:val="32"/>
        </w:rPr>
        <w:t>技能和</w:t>
      </w:r>
      <w:r>
        <w:rPr>
          <w:rFonts w:ascii="仿宋_GB2312" w:eastAsia="仿宋_GB2312"/>
          <w:sz w:val="32"/>
          <w:szCs w:val="32"/>
        </w:rPr>
        <w:t>规范。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三、就餐</w:t>
      </w:r>
      <w:r>
        <w:rPr>
          <w:rFonts w:ascii="黑体" w:hAnsi="黑体" w:eastAsia="黑体"/>
          <w:sz w:val="32"/>
          <w:szCs w:val="32"/>
        </w:rPr>
        <w:t>环境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应采取多种方式，在就餐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显著</w:t>
      </w:r>
      <w:r>
        <w:rPr>
          <w:rFonts w:hint="eastAsia" w:ascii="仿宋_GB2312" w:eastAsia="仿宋_GB2312"/>
          <w:sz w:val="32"/>
          <w:szCs w:val="32"/>
        </w:rPr>
        <w:t>位置张贴摆放包含节约食物、杜绝浪费、勤俭节约等内容的宣传画或提示牌，营造制止餐饮浪费的就餐环境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四、菜肴食材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</w:rPr>
        <w:t>照</w:t>
      </w:r>
      <w:r>
        <w:rPr>
          <w:rFonts w:ascii="仿宋_GB2312" w:eastAsia="仿宋_GB2312"/>
          <w:sz w:val="32"/>
          <w:szCs w:val="32"/>
        </w:rPr>
        <w:t>营养均衡的理念</w:t>
      </w:r>
      <w:r>
        <w:rPr>
          <w:rFonts w:hint="eastAsia" w:ascii="仿宋_GB2312" w:eastAsia="仿宋_GB2312"/>
          <w:sz w:val="32"/>
          <w:szCs w:val="32"/>
        </w:rPr>
        <w:t>，灵活编排菜单以便于消费者选择，</w:t>
      </w:r>
      <w:r>
        <w:rPr>
          <w:rFonts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半份菜半价、</w:t>
      </w:r>
      <w:r>
        <w:rPr>
          <w:rFonts w:ascii="仿宋_GB2312" w:eastAsia="仿宋_GB2312"/>
          <w:sz w:val="32"/>
          <w:szCs w:val="32"/>
        </w:rPr>
        <w:t>小份菜</w:t>
      </w:r>
      <w:r>
        <w:rPr>
          <w:rFonts w:hint="eastAsia" w:ascii="仿宋_GB2312" w:eastAsia="仿宋_GB2312"/>
          <w:sz w:val="32"/>
          <w:szCs w:val="32"/>
        </w:rPr>
        <w:t>适价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热菜</w:t>
      </w:r>
      <w:r>
        <w:rPr>
          <w:rFonts w:ascii="仿宋_GB2312" w:eastAsia="仿宋_GB2312"/>
          <w:sz w:val="32"/>
          <w:szCs w:val="32"/>
        </w:rPr>
        <w:t>拼盘、</w:t>
      </w:r>
      <w:r>
        <w:rPr>
          <w:rFonts w:hint="eastAsia" w:ascii="仿宋_GB2312" w:eastAsia="仿宋_GB2312"/>
          <w:sz w:val="32"/>
          <w:szCs w:val="32"/>
        </w:rPr>
        <w:t>按需供</w:t>
      </w:r>
      <w:r>
        <w:rPr>
          <w:rFonts w:ascii="仿宋_GB2312" w:eastAsia="仿宋_GB2312"/>
          <w:sz w:val="32"/>
          <w:szCs w:val="32"/>
        </w:rPr>
        <w:t>餐等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应设计满足不同消费需求的标准化菜肴或套餐，</w:t>
      </w:r>
      <w:r>
        <w:rPr>
          <w:rFonts w:hint="eastAsia" w:ascii="仿宋_GB2312" w:eastAsia="仿宋_GB2312"/>
          <w:sz w:val="32"/>
          <w:szCs w:val="32"/>
        </w:rPr>
        <w:t>菜单上</w:t>
      </w:r>
      <w:r>
        <w:rPr>
          <w:rFonts w:ascii="仿宋_GB2312" w:eastAsia="仿宋_GB2312"/>
          <w:sz w:val="32"/>
          <w:szCs w:val="32"/>
        </w:rPr>
        <w:t>应标注菜肴份量、价格、建议消费人数和</w:t>
      </w:r>
      <w:r>
        <w:rPr>
          <w:rFonts w:hint="eastAsia" w:ascii="仿宋_GB2312" w:eastAsia="仿宋_GB2312"/>
          <w:sz w:val="32"/>
          <w:szCs w:val="32"/>
        </w:rPr>
        <w:t>节约</w:t>
      </w:r>
      <w:r>
        <w:rPr>
          <w:rFonts w:ascii="仿宋_GB2312" w:eastAsia="仿宋_GB2312"/>
          <w:sz w:val="32"/>
          <w:szCs w:val="32"/>
        </w:rPr>
        <w:t>用餐的提醒信息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对已经烹饪的菜肴，应</w:t>
      </w:r>
      <w:r>
        <w:rPr>
          <w:rFonts w:hint="eastAsia" w:ascii="仿宋_GB2312" w:eastAsia="仿宋_GB2312"/>
          <w:sz w:val="32"/>
          <w:szCs w:val="32"/>
        </w:rPr>
        <w:t>如实</w:t>
      </w:r>
      <w:r>
        <w:rPr>
          <w:rFonts w:ascii="仿宋_GB2312" w:eastAsia="仿宋_GB2312"/>
          <w:sz w:val="32"/>
          <w:szCs w:val="32"/>
        </w:rPr>
        <w:t>告知消费者，根据菜肴特点，</w:t>
      </w:r>
      <w:r>
        <w:rPr>
          <w:rFonts w:hint="eastAsia" w:ascii="仿宋_GB2312" w:eastAsia="仿宋_GB2312"/>
          <w:sz w:val="32"/>
          <w:szCs w:val="32"/>
        </w:rPr>
        <w:t>提示</w:t>
      </w:r>
      <w:r>
        <w:rPr>
          <w:rFonts w:ascii="仿宋_GB2312" w:eastAsia="仿宋_GB2312"/>
          <w:sz w:val="32"/>
          <w:szCs w:val="32"/>
        </w:rPr>
        <w:t>消费者采取打包等节约措施。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五、节约措施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建立节约用餐提示制度。优化</w:t>
      </w:r>
      <w:r>
        <w:rPr>
          <w:rFonts w:ascii="仿宋_GB2312" w:eastAsia="仿宋_GB2312"/>
          <w:sz w:val="32"/>
          <w:szCs w:val="32"/>
        </w:rPr>
        <w:t>从点餐提醒到</w:t>
      </w:r>
      <w:r>
        <w:rPr>
          <w:rFonts w:hint="eastAsia" w:ascii="仿宋_GB2312" w:eastAsia="仿宋_GB2312"/>
          <w:sz w:val="32"/>
          <w:szCs w:val="32"/>
        </w:rPr>
        <w:t>剩菜</w:t>
      </w:r>
      <w:r>
        <w:rPr>
          <w:rFonts w:ascii="仿宋_GB2312" w:eastAsia="仿宋_GB2312"/>
          <w:sz w:val="32"/>
          <w:szCs w:val="32"/>
        </w:rPr>
        <w:t>打包的服务流程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及时提示消费者</w:t>
      </w:r>
      <w:r>
        <w:rPr>
          <w:rFonts w:hint="eastAsia" w:ascii="仿宋_GB2312" w:eastAsia="仿宋_GB2312"/>
          <w:sz w:val="32"/>
          <w:szCs w:val="32"/>
        </w:rPr>
        <w:t>合理点餐、适度消费。消费者点餐</w:t>
      </w:r>
      <w:r>
        <w:rPr>
          <w:rFonts w:ascii="仿宋_GB2312" w:eastAsia="仿宋_GB2312"/>
          <w:sz w:val="32"/>
          <w:szCs w:val="32"/>
        </w:rPr>
        <w:t>时应</w:t>
      </w:r>
      <w:r>
        <w:rPr>
          <w:rFonts w:hint="eastAsia" w:ascii="仿宋_GB2312" w:eastAsia="仿宋_GB2312"/>
          <w:sz w:val="32"/>
          <w:szCs w:val="32"/>
        </w:rPr>
        <w:t>提示按需点餐</w:t>
      </w:r>
      <w:r>
        <w:rPr>
          <w:rFonts w:ascii="仿宋_GB2312" w:eastAsia="仿宋_GB2312"/>
          <w:sz w:val="32"/>
          <w:szCs w:val="32"/>
        </w:rPr>
        <w:t>、少点在先</w:t>
      </w:r>
      <w:r>
        <w:rPr>
          <w:rFonts w:hint="eastAsia" w:ascii="仿宋_GB2312" w:eastAsia="仿宋_GB2312"/>
          <w:sz w:val="32"/>
          <w:szCs w:val="32"/>
        </w:rPr>
        <w:t>、节俭</w:t>
      </w:r>
      <w:r>
        <w:rPr>
          <w:rFonts w:ascii="仿宋_GB2312" w:eastAsia="仿宋_GB2312"/>
          <w:sz w:val="32"/>
          <w:szCs w:val="32"/>
        </w:rPr>
        <w:t>用餐、避免浪费</w:t>
      </w:r>
      <w:r>
        <w:rPr>
          <w:rFonts w:hint="eastAsia" w:ascii="仿宋_GB2312" w:eastAsia="仿宋_GB2312"/>
          <w:sz w:val="32"/>
          <w:szCs w:val="32"/>
        </w:rPr>
        <w:t>。逐步提高位餐、分餐比例。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用餐</w:t>
      </w:r>
      <w:r>
        <w:rPr>
          <w:rFonts w:ascii="仿宋_GB2312" w:eastAsia="仿宋_GB2312"/>
          <w:sz w:val="32"/>
          <w:szCs w:val="32"/>
        </w:rPr>
        <w:t>结束时应提示消费者将剩余菜品打包，告知</w:t>
      </w:r>
      <w:r>
        <w:rPr>
          <w:rFonts w:hint="eastAsia" w:ascii="仿宋_GB2312" w:eastAsia="仿宋_GB2312"/>
          <w:sz w:val="32"/>
          <w:szCs w:val="32"/>
        </w:rPr>
        <w:t>贮存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食用方法，</w:t>
      </w:r>
      <w:r>
        <w:rPr>
          <w:rFonts w:ascii="仿宋_GB2312" w:eastAsia="仿宋_GB2312"/>
          <w:sz w:val="32"/>
          <w:szCs w:val="32"/>
        </w:rPr>
        <w:t>并提供</w:t>
      </w:r>
      <w:r>
        <w:rPr>
          <w:rFonts w:hint="eastAsia" w:ascii="仿宋_GB2312" w:eastAsia="仿宋_GB2312"/>
          <w:sz w:val="32"/>
          <w:szCs w:val="32"/>
        </w:rPr>
        <w:t>打包服务。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六、宴席自助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餐饮企业应按照宴席预定情况，合理安排餐台数量、类型，鼓励采取“N+备用桌数”预定方式。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提供自助餐的餐饮企业应建立备餐评估等制度，提醒消费者按需、少量、多次取餐。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公筷公勺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餐饮企业应承诺使用公筷公勺；应在大堂、餐厅、厨房等醒目处，</w:t>
      </w:r>
      <w:r>
        <w:rPr>
          <w:rFonts w:hint="eastAsia" w:ascii="仿宋_GB2312" w:eastAsia="仿宋_GB2312"/>
          <w:sz w:val="32"/>
          <w:szCs w:val="32"/>
          <w:lang w:eastAsia="zh-CN"/>
        </w:rPr>
        <w:t>张贴</w:t>
      </w:r>
      <w:r>
        <w:rPr>
          <w:rFonts w:hint="eastAsia" w:ascii="仿宋_GB2312" w:eastAsia="仿宋_GB2312"/>
          <w:sz w:val="32"/>
          <w:szCs w:val="32"/>
        </w:rPr>
        <w:t>提倡使用公筷公勺的</w:t>
      </w:r>
      <w:r>
        <w:rPr>
          <w:rFonts w:hint="eastAsia" w:ascii="仿宋_GB2312" w:eastAsia="仿宋_GB2312"/>
          <w:sz w:val="32"/>
          <w:szCs w:val="32"/>
          <w:lang w:eastAsia="zh-CN"/>
        </w:rPr>
        <w:t>宣传画</w:t>
      </w:r>
      <w:r>
        <w:rPr>
          <w:rFonts w:hint="eastAsia" w:ascii="仿宋_GB2312" w:eastAsia="仿宋_GB2312"/>
          <w:sz w:val="32"/>
          <w:szCs w:val="32"/>
        </w:rPr>
        <w:t>，并在餐桌上放置提示牌。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公筷公勺的颜色、外形应当明显区别于普通筷勺，便于识别，避免混用。加强对服务人员的公筷公勺服务技能培训。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服务人员应按照用餐人数配备公筷公勺，告知公筷公勺摆放的位置和使用的方法，并在就餐过程中予以提示和纠正。服务人员在分餐、合盘或换盘、餐后剩余食品打包时，应使用公筷公勺。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八、本规范</w:t>
      </w:r>
      <w:r>
        <w:rPr>
          <w:rFonts w:hint="eastAsia" w:ascii="黑体" w:hAnsi="黑体" w:eastAsia="黑体"/>
          <w:sz w:val="32"/>
          <w:szCs w:val="32"/>
          <w:lang w:eastAsia="zh-CN"/>
        </w:rPr>
        <w:t>由市商务局负责解释，</w:t>
      </w:r>
      <w:r>
        <w:rPr>
          <w:rFonts w:hint="eastAsia" w:ascii="黑体" w:hAnsi="黑体" w:eastAsia="黑体"/>
          <w:sz w:val="32"/>
          <w:szCs w:val="32"/>
        </w:rPr>
        <w:t>自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2021年7月8日起</w:t>
      </w:r>
      <w:r>
        <w:rPr>
          <w:rFonts w:hint="eastAsia" w:ascii="黑体" w:hAnsi="黑体" w:eastAsia="黑体"/>
          <w:sz w:val="32"/>
          <w:szCs w:val="32"/>
        </w:rPr>
        <w:t>实施</w:t>
      </w:r>
      <w:r>
        <w:rPr>
          <w:rFonts w:hint="eastAsia" w:ascii="黑体" w:hAnsi="黑体" w:eastAsia="黑体"/>
          <w:sz w:val="32"/>
          <w:szCs w:val="32"/>
          <w:lang w:eastAsia="zh-CN"/>
        </w:rPr>
        <w:t>，有效期为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3年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spacing w:line="520" w:lineRule="exact"/>
        <w:ind w:right="170" w:rightChars="81"/>
        <w:jc w:val="both"/>
        <w:rPr>
          <w:rFonts w:hint="default" w:ascii="Calibri" w:hAnsi="Calibri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Calibri" w:hAnsi="Calibri" w:eastAsia="仿宋_GB2312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6pt;height:0pt;width:442.2pt;mso-position-horizontal:center;z-index:251660288;mso-width-relative:page;mso-height-relative:page;" filled="f" stroked="t" coordsize="21600,21600" o:gfxdata="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t2fd1AAAAAQBAAAPAAAAAAAAAAEAIAAAACIAAABkcnMvZG93bnJldi54bWxQSwECFAAU&#10;AAAACACHTuJAbOkgc/UBAADl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color w:val="00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8.45pt;height:0pt;width:442.2pt;mso-position-horizontal:center;z-index:251659264;mso-width-relative:page;mso-height-relative:page;" filled="f" stroked="t" coordsize="21600,21600" o:gfxdata="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hJTr1gAAAAYBAAAPAAAAAAAAAAEAIAAAACIAAABkcnMvZG93bnJldi54&#10;bWxQSwECFAAUAAAACACHTuJAKZKKsPwBAADvAwAADgAAAAAAAAABACAAAAAl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alibri" w:hAnsi="Calibri" w:eastAsia="仿宋_GB2312" w:cs="宋体"/>
          <w:color w:val="000000"/>
          <w:kern w:val="0"/>
          <w:sz w:val="28"/>
          <w:szCs w:val="28"/>
        </w:rPr>
        <w:t>合肥市商务局　　</w:t>
      </w:r>
      <w:r>
        <w:rPr>
          <w:rFonts w:ascii="Calibri" w:hAnsi="Calibri" w:eastAsia="仿宋_GB2312" w:cs="Times New Roman"/>
          <w:color w:val="000000"/>
          <w:sz w:val="28"/>
          <w:szCs w:val="28"/>
        </w:rPr>
        <w:t xml:space="preserve">     </w:t>
      </w: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 xml:space="preserve">  </w:t>
      </w:r>
      <w:r>
        <w:rPr>
          <w:rFonts w:ascii="Calibri" w:hAnsi="Calibri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 xml:space="preserve">  </w:t>
      </w:r>
      <w:r>
        <w:rPr>
          <w:rFonts w:ascii="Calibri" w:hAnsi="Calibri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 xml:space="preserve"> 　　　　</w:t>
      </w:r>
      <w:r>
        <w:rPr>
          <w:rFonts w:hint="eastAsia" w:ascii="Calibri" w:hAnsi="Calibri" w:eastAsia="仿宋_GB2312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年6月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印发</w:t>
      </w:r>
      <w:bookmarkStart w:id="0" w:name="_GoBack"/>
      <w:bookmarkEnd w:id="0"/>
      <w:r>
        <w:rPr>
          <w:rFonts w:hint="eastAsia" w:ascii="Calibri" w:hAnsi="Calibri" w:eastAsia="仿宋_GB2312" w:cs="宋体"/>
          <w:color w:val="000000"/>
          <w:kern w:val="0"/>
          <w:sz w:val="28"/>
          <w:szCs w:val="28"/>
        </w:rPr>
        <w:t>规范性文件登记号：HFGS-2021-030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3098886"/>
    </w:sdtPr>
    <w:sdtEndPr>
      <w:rPr>
        <w:rFonts w:asciiTheme="minorEastAsia" w:hAnsiTheme="minorEastAsia"/>
        <w:sz w:val="30"/>
        <w:szCs w:val="30"/>
      </w:rPr>
    </w:sdtEndPr>
    <w:sdtContent>
      <w:p>
        <w:pPr>
          <w:pStyle w:val="4"/>
          <w:jc w:val="center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t>-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2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asciiTheme="minorEastAsia" w:hAnsiTheme="minorEastAsia"/>
            <w:sz w:val="30"/>
            <w:szCs w:val="30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0"/>
    <w:rsid w:val="00033B2D"/>
    <w:rsid w:val="00054886"/>
    <w:rsid w:val="0007668D"/>
    <w:rsid w:val="000C7660"/>
    <w:rsid w:val="000E37F7"/>
    <w:rsid w:val="00103D9E"/>
    <w:rsid w:val="0010420B"/>
    <w:rsid w:val="00120EFF"/>
    <w:rsid w:val="0012236D"/>
    <w:rsid w:val="001264C4"/>
    <w:rsid w:val="00152242"/>
    <w:rsid w:val="00161E06"/>
    <w:rsid w:val="00171A58"/>
    <w:rsid w:val="00186872"/>
    <w:rsid w:val="0019308A"/>
    <w:rsid w:val="001A7687"/>
    <w:rsid w:val="00240B03"/>
    <w:rsid w:val="00241713"/>
    <w:rsid w:val="002851D9"/>
    <w:rsid w:val="002E14CC"/>
    <w:rsid w:val="002F0790"/>
    <w:rsid w:val="00312932"/>
    <w:rsid w:val="003307DB"/>
    <w:rsid w:val="0033538B"/>
    <w:rsid w:val="003555FB"/>
    <w:rsid w:val="003921B3"/>
    <w:rsid w:val="003B3927"/>
    <w:rsid w:val="00400E39"/>
    <w:rsid w:val="004B567D"/>
    <w:rsid w:val="004B73B8"/>
    <w:rsid w:val="004D1A3E"/>
    <w:rsid w:val="00500E6A"/>
    <w:rsid w:val="00513ED3"/>
    <w:rsid w:val="00516D93"/>
    <w:rsid w:val="00537FBD"/>
    <w:rsid w:val="00583DE3"/>
    <w:rsid w:val="00593C7E"/>
    <w:rsid w:val="005B0263"/>
    <w:rsid w:val="005B36DF"/>
    <w:rsid w:val="005B75CF"/>
    <w:rsid w:val="005D46BB"/>
    <w:rsid w:val="005E56F3"/>
    <w:rsid w:val="0060570F"/>
    <w:rsid w:val="00621AD5"/>
    <w:rsid w:val="00656405"/>
    <w:rsid w:val="00685F10"/>
    <w:rsid w:val="00693A84"/>
    <w:rsid w:val="006A3556"/>
    <w:rsid w:val="006A3B73"/>
    <w:rsid w:val="006B3314"/>
    <w:rsid w:val="006B47AB"/>
    <w:rsid w:val="006C411C"/>
    <w:rsid w:val="006C799B"/>
    <w:rsid w:val="006E2B6F"/>
    <w:rsid w:val="006E7993"/>
    <w:rsid w:val="007210BC"/>
    <w:rsid w:val="00723A11"/>
    <w:rsid w:val="00724CAE"/>
    <w:rsid w:val="00733BF6"/>
    <w:rsid w:val="00733ED5"/>
    <w:rsid w:val="0073505F"/>
    <w:rsid w:val="0075612F"/>
    <w:rsid w:val="00762D69"/>
    <w:rsid w:val="00781FD6"/>
    <w:rsid w:val="00786DC9"/>
    <w:rsid w:val="007B1E63"/>
    <w:rsid w:val="007C6908"/>
    <w:rsid w:val="008133C9"/>
    <w:rsid w:val="00822F9E"/>
    <w:rsid w:val="00867FD5"/>
    <w:rsid w:val="008B717A"/>
    <w:rsid w:val="008E7EED"/>
    <w:rsid w:val="00915CD7"/>
    <w:rsid w:val="009800C5"/>
    <w:rsid w:val="00982292"/>
    <w:rsid w:val="00A17714"/>
    <w:rsid w:val="00A274E6"/>
    <w:rsid w:val="00A75E6E"/>
    <w:rsid w:val="00A803FA"/>
    <w:rsid w:val="00A80647"/>
    <w:rsid w:val="00A914EC"/>
    <w:rsid w:val="00AC27CC"/>
    <w:rsid w:val="00B22BF8"/>
    <w:rsid w:val="00B57FA1"/>
    <w:rsid w:val="00B61AB3"/>
    <w:rsid w:val="00B7426C"/>
    <w:rsid w:val="00BE42A2"/>
    <w:rsid w:val="00C06484"/>
    <w:rsid w:val="00C151BC"/>
    <w:rsid w:val="00C3554A"/>
    <w:rsid w:val="00C46C87"/>
    <w:rsid w:val="00C522BD"/>
    <w:rsid w:val="00C85E0A"/>
    <w:rsid w:val="00CB5D29"/>
    <w:rsid w:val="00CC3DC6"/>
    <w:rsid w:val="00CD5FA6"/>
    <w:rsid w:val="00D16A7F"/>
    <w:rsid w:val="00D334F1"/>
    <w:rsid w:val="00D87163"/>
    <w:rsid w:val="00DD6D10"/>
    <w:rsid w:val="00DF5BE2"/>
    <w:rsid w:val="00E2081B"/>
    <w:rsid w:val="00E452D6"/>
    <w:rsid w:val="00E56A24"/>
    <w:rsid w:val="00E65D4D"/>
    <w:rsid w:val="00E766EA"/>
    <w:rsid w:val="00EC4C9C"/>
    <w:rsid w:val="00F05EA9"/>
    <w:rsid w:val="00F507A2"/>
    <w:rsid w:val="00F5799D"/>
    <w:rsid w:val="00F97379"/>
    <w:rsid w:val="00FA06B9"/>
    <w:rsid w:val="00FD7763"/>
    <w:rsid w:val="00FE6F76"/>
    <w:rsid w:val="078C4CA6"/>
    <w:rsid w:val="0C2722C5"/>
    <w:rsid w:val="12717882"/>
    <w:rsid w:val="16452761"/>
    <w:rsid w:val="169D5146"/>
    <w:rsid w:val="1EDF2CDE"/>
    <w:rsid w:val="225F513C"/>
    <w:rsid w:val="2CBA4608"/>
    <w:rsid w:val="3297618F"/>
    <w:rsid w:val="378651CA"/>
    <w:rsid w:val="37B07DA5"/>
    <w:rsid w:val="39417C11"/>
    <w:rsid w:val="40F24655"/>
    <w:rsid w:val="423E4920"/>
    <w:rsid w:val="44DB6881"/>
    <w:rsid w:val="4A953BD0"/>
    <w:rsid w:val="4A9F2319"/>
    <w:rsid w:val="4B891282"/>
    <w:rsid w:val="4D3963EB"/>
    <w:rsid w:val="4FFD2B46"/>
    <w:rsid w:val="560A3F1C"/>
    <w:rsid w:val="56576940"/>
    <w:rsid w:val="57882601"/>
    <w:rsid w:val="58734110"/>
    <w:rsid w:val="6E462158"/>
    <w:rsid w:val="76CF2BA4"/>
    <w:rsid w:val="7A0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rFonts w:ascii="Times New Roman" w:hAnsi="Times New Roman" w:eastAsia="宋体" w:cs="Times New Roman"/>
      <w:sz w:val="24"/>
      <w:szCs w:val="32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564</Words>
  <Characters>576</Characters>
  <Lines>25</Lines>
  <Paragraphs>7</Paragraphs>
  <TotalTime>51</TotalTime>
  <ScaleCrop>false</ScaleCrop>
  <LinksUpToDate>false</LinksUpToDate>
  <CharactersWithSpaces>1133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2021-05-14T02:50:00Z</dcterms:created>
  <dc:creator>周超</dc:creator>
  <cp:lastModifiedBy>Administrator</cp:lastModifiedBy>
  <cp:lastPrinted>2021-06-08T09:12:00Z</cp:lastPrinted>
  <dcterms:modified xsi:type="dcterms:W3CDTF">2021-06-09T03:23:16Z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