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53" w:rightChars="-73"/>
        <w:jc w:val="center"/>
        <w:rPr>
          <w:sz w:val="32"/>
          <w:szCs w:val="32"/>
        </w:rPr>
      </w:pPr>
      <w:r>
        <w:rPr>
          <w:sz w:val="13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242570</wp:posOffset>
                </wp:positionV>
                <wp:extent cx="1257300" cy="8915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方正小标宋简体" w:eastAsia="方正小标宋简体"/>
                                <w:color w:val="FF0000"/>
                                <w:sz w:val="53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3"/>
                              </w:rPr>
                              <w:t>商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3"/>
                                <w:lang w:eastAsia="zh-CN"/>
                              </w:rPr>
                              <w:t>务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3"/>
                              </w:rPr>
                              <w:t>局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方正小标宋简体" w:eastAsia="方正小标宋简体"/>
                                <w:color w:val="FF0000"/>
                                <w:sz w:val="53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3"/>
                              </w:rPr>
                              <w:t>财政局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15pt;margin-top:19.1pt;height:70.2pt;width:99pt;z-index:251660288;mso-width-relative:page;mso-height-relative:page;" filled="f" stroked="f" coordsize="21600,21600" o:gfxdata="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/9R/5doAAAAKAQAADwAAAAAAAAABACAAAAAiAAAAZHJzL2Rvd25yZXYueG1sUEsBAhQAFAAAAAgA&#10;h07iQJfypLixAQAAWA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exact"/>
                        <w:rPr>
                          <w:rFonts w:ascii="方正小标宋简体" w:eastAsia="方正小标宋简体"/>
                          <w:color w:val="FF0000"/>
                          <w:sz w:val="53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53"/>
                        </w:rPr>
                        <w:t>商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z w:val="53"/>
                          <w:lang w:eastAsia="zh-CN"/>
                        </w:rPr>
                        <w:t>务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z w:val="53"/>
                        </w:rPr>
                        <w:t>局</w:t>
                      </w:r>
                    </w:p>
                    <w:p>
                      <w:pPr>
                        <w:spacing w:line="600" w:lineRule="exact"/>
                        <w:rPr>
                          <w:rFonts w:ascii="方正小标宋简体" w:eastAsia="方正小标宋简体"/>
                          <w:color w:val="FF0000"/>
                          <w:sz w:val="53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53"/>
                        </w:rPr>
                        <w:t>财政局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FF0000"/>
          <w:w w:val="60"/>
          <w:sz w:val="135"/>
        </w:rPr>
        <w:t>合肥市瑶海区     文件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瑶商〔202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spacing w:line="480" w:lineRule="exac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586095" cy="0"/>
                <wp:effectExtent l="0" t="19050" r="1460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60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39.85pt;z-index:251661312;mso-width-relative:page;mso-height-relative:page;" filled="f" stroked="t" coordsize="21600,21600" o:gfxdata="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xVDW/YAAAABgEAAA8AAAAAAAAAAQAgAAAAIgAAAGRycy9kb3ducmV2&#10;LnhtbFBLAQIUABQAAAAIAIdO4kCI4FMN/AEAAPMDAAAOAAAAAAAAAAEAIAAAACcBAABkcnMvZTJv&#10;RG9jLnhtbFBLBQYAAAAABgAGAFkBAACV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瑶海区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  <w:t>专业市场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社消零优化提升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eastAsia="zh-CN"/>
        </w:rPr>
        <w:t>试点方案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积极引导全区专业市场商户纳入统计互联网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直报平台（以下简称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入统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），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根据区政府工作安排，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区商务局以周谷堆大兴农产品国际物流园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（以下简称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周谷堆市场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试点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开展市场社消零优化提升试点行动，制定本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已入统和专项行动期间入统的市场内商贸法人企业、个体工商户，积极引导、组织商户入统的专业市场管理方和相关行业协会。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试点措施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eastAsia="zh-CN"/>
        </w:rPr>
        <w:t>（一）强化荣誉激励机制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对周谷堆市场内入统商户，授予“瑶海区商贸零售业先进单位”称号。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对周谷堆市场内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年度零售额前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20名的商户授予“周谷堆市场商贸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业20强单位”称号，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2022年度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零售额前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50名的商户授予“周谷堆市场商贸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业50强单位”称号。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对周谷堆市场内年度零售额前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3名的单位授予“周谷堆市场商贸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业龙头单位”称号。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对周谷堆市场内入统商户进行授牌，对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“瑶海区商贸零售业先进单位”奖励价值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500元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的奖品；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“周谷堆市场商贸零售业20强单位”、“周谷堆市场商贸零售业50强单位”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奖励价值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1000元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的奖品；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“周谷堆市场商贸零售业龙头单位”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奖励价值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000元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本条款内第2条、第3条中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“周谷堆市场商贸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业龙头单位”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“周谷堆市场商贸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业20强单位”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“周谷堆市场商贸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零售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业50强单位”称号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及奖品不重复享受。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eastAsia="zh-CN"/>
        </w:rPr>
        <w:t>引导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u w:val="none"/>
          <w:lang w:eastAsia="zh-CN"/>
        </w:rPr>
        <w:t>商户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eastAsia="zh-CN"/>
        </w:rPr>
        <w:t>提档升级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对当年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零售额在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5000万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且增速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超过全区平均增速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法人企业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，给予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15万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元一次性奖励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（与首次入统的法人企业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5万元一次性奖励不重复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享受）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eastAsia="zh-CN"/>
        </w:rPr>
        <w:t>（三）发挥行业协会作用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通过行业协会推荐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商户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入统，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每新增5家首次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入统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的商贸流通法人企业或个体经营户（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每家年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零售额不少于1000万元），给予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行业协会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万元一次性奖励，最高不超过30万元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（市场运营管理团队与行业协会不得重复推荐相同商户）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（四）支持壮大龙头</w:t>
      </w:r>
      <w:r>
        <w:rPr>
          <w:rFonts w:hint="eastAsia" w:ascii="Times New Roman" w:hAnsi="Times New Roman" w:eastAsia="楷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  <w:lang w:eastAsia="zh-CN"/>
        </w:rPr>
        <w:t>周谷堆市场内已入统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</w:rPr>
        <w:t>单位零售额（新增除外）较上年净增加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  <w:lang w:val="en-US" w:eastAsia="zh-CN"/>
        </w:rPr>
        <w:t>1000万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</w:rPr>
        <w:t>元、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  <w:lang w:val="en-US" w:eastAsia="zh-CN"/>
        </w:rPr>
        <w:t>2000万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</w:rPr>
        <w:t>元、3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</w:rPr>
        <w:t>元，分别给予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</w:rPr>
        <w:t>万元、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</w:rPr>
        <w:t>万元、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u w:val="none"/>
        </w:rPr>
        <w:t>万元一次性奖励。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val="en-US" w:eastAsia="zh-CN"/>
        </w:rPr>
        <w:t>（五）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u w:val="none"/>
          <w:lang w:eastAsia="zh-CN"/>
        </w:rPr>
        <w:t>鼓励发展电子商务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鼓励市场内入统商户发展电子商务，拓展销售渠道，实现线上线下融合发展，支持商户发展直播经济，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周谷堆市场网络零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售额首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达到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00万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元以上的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入统商户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，给予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万元的一次性奖励。对开展新零售，年零售额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3000万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元以上，且网络零售额占其零售总额比重达到20%以上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的入统商户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，给予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万元一次性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商户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同一项目既符合本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又同时符合区级其它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奖补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政策的，原则上按照就高原则不重复享受。奖励资金各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商户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可用于运营管理团队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和统计业务人员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奖补方案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重点目标为推进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市场内商户入统和数据报送，与纳税不挂钩。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奖补方案奖励申报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时间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为每年3－4月份，与区级产业政策同时申报兑现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属地指导商户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向区商务局提交审查材料，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区商务局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、区统计局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进行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区财政局复审，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报区政府批准，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所需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资金由区商务局申请专项财政拨款予以兑现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，区财政局做好资金保障工作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4.申报资金奖补的单位需保持社会消费品零售额正增长。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5.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有以下情况之一的，取消本政策享受资格：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contextualSpacing/>
        <w:jc w:val="both"/>
        <w:textAlignment w:val="auto"/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（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</w:rPr>
        <w:t>存在环保、安全生产、规划、土地等重大问题的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contextualSpacing/>
        <w:jc w:val="both"/>
        <w:textAlignment w:val="auto"/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（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</w:rPr>
        <w:t>发生重大刑事案件、劳资纠纷等群体性事件并负主要责任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及以上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</w:rPr>
        <w:t>的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contextualSpacing/>
        <w:jc w:val="both"/>
        <w:textAlignment w:val="auto"/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（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val="en-US" w:eastAsia="zh-CN"/>
        </w:rPr>
        <w:t>3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</w:rPr>
        <w:t>被列入失信被执行人未撤销的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contextualSpacing/>
        <w:jc w:val="both"/>
        <w:textAlignment w:val="auto"/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（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</w:rPr>
        <w:t>被市场监管部门列入企业经营异常名录的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contextualSpacing/>
        <w:jc w:val="both"/>
        <w:textAlignment w:val="auto"/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（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</w:rPr>
        <w:t>被税务部门列入重大税收违法案件当事人名单的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（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Style w:val="8"/>
          <w:rFonts w:hint="default" w:ascii="Times New Roman" w:hAnsi="Times New Roman" w:eastAsia="仿宋_GB2312" w:cs="Times New Roman"/>
          <w:b w:val="0"/>
          <w:color w:val="auto"/>
          <w:spacing w:val="0"/>
          <w:kern w:val="21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32"/>
          <w:szCs w:val="32"/>
          <w:highlight w:val="none"/>
          <w:u w:val="none"/>
          <w:lang w:eastAsia="zh-CN"/>
        </w:rPr>
        <w:t>有其他严重违法行为的。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试点方案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由区商务局负责解释，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2021年9月1日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起施行，有效期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2022年12月31日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瑶海区商务局　　　　　　　　　　瑶海区财政局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　　　　　　　　　　　　　　　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2022年3月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-213360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jWZ3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9C"/>
    <w:rsid w:val="001A032D"/>
    <w:rsid w:val="001E4616"/>
    <w:rsid w:val="00220B09"/>
    <w:rsid w:val="002366B5"/>
    <w:rsid w:val="00294C11"/>
    <w:rsid w:val="00304E00"/>
    <w:rsid w:val="00316244"/>
    <w:rsid w:val="00332173"/>
    <w:rsid w:val="003365C7"/>
    <w:rsid w:val="00475765"/>
    <w:rsid w:val="004C3E46"/>
    <w:rsid w:val="005F1A9C"/>
    <w:rsid w:val="00646BC7"/>
    <w:rsid w:val="006E4FD2"/>
    <w:rsid w:val="00732640"/>
    <w:rsid w:val="00774A08"/>
    <w:rsid w:val="00877ECA"/>
    <w:rsid w:val="0090472B"/>
    <w:rsid w:val="0098719B"/>
    <w:rsid w:val="009E2875"/>
    <w:rsid w:val="00A072AE"/>
    <w:rsid w:val="00AB79ED"/>
    <w:rsid w:val="00B26FDC"/>
    <w:rsid w:val="00B50AC5"/>
    <w:rsid w:val="00C72DE5"/>
    <w:rsid w:val="00D655AC"/>
    <w:rsid w:val="00E642F8"/>
    <w:rsid w:val="00EE7AFC"/>
    <w:rsid w:val="00F018B5"/>
    <w:rsid w:val="00F8562C"/>
    <w:rsid w:val="00FE7E42"/>
    <w:rsid w:val="01764DE4"/>
    <w:rsid w:val="056A57F8"/>
    <w:rsid w:val="061D5824"/>
    <w:rsid w:val="06A1155E"/>
    <w:rsid w:val="0A0D0387"/>
    <w:rsid w:val="0A7D6C87"/>
    <w:rsid w:val="0F937325"/>
    <w:rsid w:val="112D6159"/>
    <w:rsid w:val="115A67CA"/>
    <w:rsid w:val="1A622AE9"/>
    <w:rsid w:val="1B193379"/>
    <w:rsid w:val="230415BC"/>
    <w:rsid w:val="23CE64FB"/>
    <w:rsid w:val="23EB2573"/>
    <w:rsid w:val="24B51438"/>
    <w:rsid w:val="2631046D"/>
    <w:rsid w:val="28455E95"/>
    <w:rsid w:val="2A597E6D"/>
    <w:rsid w:val="33C766A0"/>
    <w:rsid w:val="348A3D21"/>
    <w:rsid w:val="37E1109A"/>
    <w:rsid w:val="38A80154"/>
    <w:rsid w:val="39D31837"/>
    <w:rsid w:val="39DD3AE3"/>
    <w:rsid w:val="3B0917E6"/>
    <w:rsid w:val="3BA34EF6"/>
    <w:rsid w:val="3CDB1AA2"/>
    <w:rsid w:val="41F70BED"/>
    <w:rsid w:val="43E901F8"/>
    <w:rsid w:val="44A525AB"/>
    <w:rsid w:val="44DF5E7B"/>
    <w:rsid w:val="45526A7B"/>
    <w:rsid w:val="46F53C10"/>
    <w:rsid w:val="48644295"/>
    <w:rsid w:val="4A2223F4"/>
    <w:rsid w:val="4A73208F"/>
    <w:rsid w:val="4C5A1668"/>
    <w:rsid w:val="4D0646DF"/>
    <w:rsid w:val="4F4B1821"/>
    <w:rsid w:val="510C21A0"/>
    <w:rsid w:val="527C60D1"/>
    <w:rsid w:val="532321E9"/>
    <w:rsid w:val="5BC53515"/>
    <w:rsid w:val="5D3C47F9"/>
    <w:rsid w:val="5E77480E"/>
    <w:rsid w:val="639E2749"/>
    <w:rsid w:val="678C0818"/>
    <w:rsid w:val="6BAF14F7"/>
    <w:rsid w:val="6BEF307E"/>
    <w:rsid w:val="6FFF5806"/>
    <w:rsid w:val="717629EE"/>
    <w:rsid w:val="74F63BD9"/>
    <w:rsid w:val="755D3D46"/>
    <w:rsid w:val="76102364"/>
    <w:rsid w:val="7B3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1422</Words>
  <Characters>1495</Characters>
  <Lines>2</Lines>
  <Paragraphs>1</Paragraphs>
  <TotalTime>3</TotalTime>
  <ScaleCrop>false</ScaleCrop>
  <LinksUpToDate>false</LinksUpToDate>
  <CharactersWithSpaces>1529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2020-03-24T00:20:00Z</dcterms:created>
  <dc:creator>廖婉如</dc:creator>
  <cp:lastModifiedBy>jialiangzhu</cp:lastModifiedBy>
  <cp:lastPrinted>2021-04-14T01:26:00Z</cp:lastPrinted>
  <dcterms:modified xsi:type="dcterms:W3CDTF">2022-04-12T00:46:06Z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C3A7732085844E9490ADFA7143F1827A</vt:lpwstr>
  </property>
</Properties>
</file>