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-7"/>
          <w:kern w:val="0"/>
          <w:sz w:val="44"/>
          <w:szCs w:val="44"/>
          <w:lang w:val="en-US" w:eastAsia="zh-CN" w:bidi="ar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-7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7"/>
          <w:kern w:val="0"/>
          <w:sz w:val="44"/>
          <w:szCs w:val="44"/>
          <w:lang w:val="en-US" w:eastAsia="zh-CN" w:bidi="ar"/>
        </w:rPr>
        <w:t>瑶海区林长履责考评办法</w:t>
      </w:r>
    </w:p>
    <w:p>
      <w:pPr>
        <w:adjustRightInd w:val="0"/>
        <w:snapToGrid w:val="0"/>
        <w:spacing w:line="579" w:lineRule="exact"/>
        <w:ind w:firstLine="612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</w:p>
    <w:p>
      <w:pPr>
        <w:adjustRightInd w:val="0"/>
        <w:snapToGrid w:val="0"/>
        <w:spacing w:line="579" w:lineRule="exact"/>
        <w:ind w:firstLine="612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为深入贯彻落实中共中央办公厅、国务院办公厅《关于全面推行林长制的意见》、《安徽省林长制条例》及《合肥市林长履责考评办法》精神，压实各级林长责任，推动各项改革任务落实落细，在新一轮林长制改革中展现新作为，实现新突破，结合我区实际，制定本办法。</w:t>
      </w:r>
    </w:p>
    <w:p>
      <w:pPr>
        <w:spacing w:line="566" w:lineRule="exact"/>
        <w:ind w:firstLine="640" w:firstLineChars="200"/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一、工作职责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(一)总林长职责。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承担本行政区域内林长制工作的总督导、总调度、总协调职责，推动林业园林资源保护发展和重大问题解决。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(二）林长职责。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、镇街（开发区）级林长组织领导责任区域内林业园林资源保护发展工作﹐按照分工落实林业园林资源保护发展目标，将森林覆盖率、森林蓄积量、湿地保护率、建成区绿地率、绿化覆盖率等作为重要指标，督促完成目标任务;组织协调解决责任区域的重点难点问题，依法全面保护林业和园林资源，推动生态保护修复，组织落实森林防灭火、野生动植物保护、重大有害生物防治责任和措施，强化林业和园林行政执法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(三)林长会议成员单位职责。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林长会议成员单位按照职责分工，各司其职，各负其责，协调解决森林保护发展、协同推进林长制中的重点难点问题、重大事项，研究制定林长制相关制度和办法，组织开展林长制考核工作。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(四）林长协助单位职责。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shd w:val="clear" w:fill="FFFFFF" w:themeFill="background1"/>
          <w:lang w:val="en-US" w:eastAsia="zh-CN" w:bidi="ar"/>
        </w:rPr>
        <w:t>每个林长制重点项目确定一个责任单位（林长协助单位）协助林长开展工作。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责任单位主动对接本级林长进行巡林督导，做好沟通联络、线路安排、巡林记录等工作，协助解决林业保护发展难题，及时向林长汇报年度任务完成、项目进展及问题解决情况等。</w:t>
      </w:r>
    </w:p>
    <w:p>
      <w:pPr>
        <w:spacing w:line="566" w:lineRule="exact"/>
        <w:ind w:firstLine="640" w:firstLineChars="200"/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二、履责形式</w:t>
      </w:r>
    </w:p>
    <w:p>
      <w:pPr>
        <w:adjustRightInd w:val="0"/>
        <w:snapToGrid w:val="0"/>
        <w:spacing w:line="579" w:lineRule="exact"/>
        <w:ind w:firstLine="612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通过林长会议、巡林调研、督查督导等形式履职尽责。每年总林长、林长分别组织召开总林长会议、林长会议不少于1次。区级总林长原则上每半年巡林不少于1次，区级林长每季度巡林不少于1次，区、镇街（开发区）级林长每月巡林不少于1次，社区级林长每周不少于1次。</w:t>
      </w:r>
    </w:p>
    <w:p>
      <w:pPr>
        <w:spacing w:line="566" w:lineRule="exact"/>
        <w:ind w:firstLine="640" w:firstLineChars="200"/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三、履责内容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(一）组织领导。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贯彻落实国家、省、市林长制改革有关决策部署，研究制定林长制工作规划和年度计划，确定林长制年度工作主要任务。推动林长制改革创新，解决林业园林资源保护发展问题。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(二）压实责任。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压实区级相关责任部门和下一级项目林长职责,推动建立健全项目林长责任体系,推进基层护林组织建设，完善并管理林长制综合管理服务平台。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(三)统筹推进。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协调推进落实项目年度计划任务，指导制定项目规划、任务计划，协调解决影响项目进展相关问题。</w:t>
      </w:r>
    </w:p>
    <w:p>
      <w:pPr>
        <w:spacing w:line="566" w:lineRule="exact"/>
        <w:ind w:firstLine="640" w:firstLineChars="200"/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四、履责制度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shd w:val="clear" w:fill="FFFF00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(一）履责登记制度。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shd w:val="clear" w:fill="FFFFFF" w:themeFill="background1"/>
          <w:lang w:val="en-US" w:eastAsia="zh-CN" w:bidi="ar"/>
        </w:rPr>
        <w:t>每次巡林应认真填写巡林记录表并通过林掌APP上传巡林记录。区级林长巡林记录、图片由区级林长协助单位整理归档，每年6月1日、12月1日前报区林长办，镇街（开发区）、社区级林长巡林记录资料报同级林长办。每半年将巡林履责情况、林长制重点项目年度目标任务完成情况，书面报上一级林长和林长协助单位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(二）项目调度制度。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建立“总林长令”制度，强化重点任务的工作部署和责任落实。林长以现场调度为主，辅以会议、书面和电话调度等方式，原则上每半年对责任区域重点项目进行调度1次，如遇重要事项，随时调度。各级林长办及时调度解决林长制项目推进过程中的实际难题，对解决不了的重要问题以书面形式提交本级总林长调度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(三)跟踪督办制度。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巡林过程中发现的问题，应及时协调督促解决。职权范围内的问题由林长督促相关部门或下级林长限期处理;遇重大问题本级解决不了的应及时上报上级林长或林长办。建立督查整改清单、问题整改反馈清单工作机制，跟踪项目实时进展及问题解决,林长办每半年通报林长制重点项目任务进展。</w:t>
      </w:r>
    </w:p>
    <w:p>
      <w:pPr>
        <w:spacing w:line="566" w:lineRule="exact"/>
        <w:ind w:firstLine="640" w:firstLineChars="200"/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五、考核考评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(一）考评内容。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主要包括林长调度、会议、督查等制度落实情况，责任区域林业资源保护、造林绿化、森林防火、林业有害生物防治、野生动植物保护、依法行政等“五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大森林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”任务推进情况，推动改革创新和长效机制建立情况等。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(二）考核程序。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每年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林长办组织制定对镇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街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开发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区）林长、林长制办公室以及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林长会议成员单位考核方案，明确考核指标、评价标准及计分方法等，报林长会议审批后，组织开展考核。考核结果经林长会议审定后，及时通报。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(三)结果运用。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将考核结果纳入对各镇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街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开发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区）有关党政领导干部综合考核,并作为自然资源资产离任审计的重要依据。</w:t>
      </w:r>
    </w:p>
    <w:p>
      <w:pPr>
        <w:adjustRightInd w:val="0"/>
        <w:snapToGrid w:val="0"/>
        <w:spacing w:line="579" w:lineRule="exact"/>
        <w:ind w:firstLine="640" w:firstLineChars="200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Cs/>
          <w:snapToGrid/>
          <w:color w:val="000000"/>
          <w:sz w:val="32"/>
          <w:szCs w:val="32"/>
          <w:lang w:val="en-US" w:eastAsia="zh-CN"/>
        </w:rPr>
        <w:t>(四）问责激励。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对考核结果优秀的，给予通报表彰，考核结果不合格或者因落实责任不力，造成森林资源严重破坏的，按照有关规定追究责任。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textAlignment w:val="baseline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附件: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1．林长巡林记录表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530" w:firstLineChars="500"/>
        <w:textAlignment w:val="baseline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林长巡林发现问题交办单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530" w:firstLineChars="500"/>
        <w:textAlignment w:val="baseline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区级林长及区级林长协助单位名单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530" w:firstLineChars="500"/>
        <w:textAlignment w:val="baseline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瑶海区林长信息统计表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530" w:firstLineChars="500"/>
        <w:jc w:val="left"/>
        <w:textAlignment w:val="baseline"/>
        <w:rPr>
          <w:rFonts w:hint="default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林长制重点项目一览表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530" w:firstLineChars="5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 xml:space="preserve">6.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 w:bidi="ar"/>
        </w:rPr>
        <w:t>关于印发《合肥市林长履责考评办法》的通知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88" w:line="222" w:lineRule="auto"/>
        <w:ind w:firstLine="58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仿宋" w:hAnsi="仿宋" w:eastAsia="仿宋" w:cs="仿宋"/>
          <w:sz w:val="34"/>
          <w:szCs w:val="34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3" w:line="219" w:lineRule="auto"/>
        <w:ind w:firstLine="30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林长巡林记录表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72" w:line="230" w:lineRule="auto"/>
        <w:ind w:firstLine="20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填表日期:</w:t>
      </w:r>
      <w:r>
        <w:rPr>
          <w:rFonts w:ascii="仿宋" w:hAnsi="仿宋" w:eastAsia="仿宋" w:cs="仿宋"/>
          <w:spacing w:val="10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2"/>
          <w:sz w:val="22"/>
          <w:szCs w:val="22"/>
        </w:rPr>
        <w:t>年</w:t>
      </w:r>
      <w:r>
        <w:rPr>
          <w:rFonts w:ascii="仿宋" w:hAnsi="仿宋" w:eastAsia="仿宋" w:cs="仿宋"/>
          <w:spacing w:val="29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2"/>
          <w:sz w:val="22"/>
          <w:szCs w:val="22"/>
        </w:rPr>
        <w:t>月</w:t>
      </w:r>
      <w:r>
        <w:rPr>
          <w:rFonts w:ascii="仿宋" w:hAnsi="仿宋" w:eastAsia="仿宋" w:cs="仿宋"/>
          <w:spacing w:val="12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2"/>
          <w:sz w:val="22"/>
          <w:szCs w:val="22"/>
        </w:rPr>
        <w:t>日</w:t>
      </w:r>
    </w:p>
    <w:p>
      <w:pPr>
        <w:spacing w:line="14" w:lineRule="exact"/>
      </w:pPr>
    </w:p>
    <w:tbl>
      <w:tblPr>
        <w:tblStyle w:val="7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668"/>
        <w:gridCol w:w="955"/>
        <w:gridCol w:w="2048"/>
        <w:gridCol w:w="2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巡查项目名称</w:t>
            </w:r>
          </w:p>
        </w:tc>
        <w:tc>
          <w:tcPr>
            <w:tcW w:w="26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firstLine="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巡查时间</w:t>
            </w:r>
          </w:p>
        </w:tc>
        <w:tc>
          <w:tcPr>
            <w:tcW w:w="2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林长姓名</w:t>
            </w:r>
          </w:p>
        </w:tc>
        <w:tc>
          <w:tcPr>
            <w:tcW w:w="26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林长职务</w:t>
            </w:r>
          </w:p>
        </w:tc>
        <w:tc>
          <w:tcPr>
            <w:tcW w:w="27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600" w:lineRule="exact"/>
              <w:ind w:firstLine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28"/>
                <w:sz w:val="23"/>
                <w:szCs w:val="23"/>
              </w:rPr>
              <w:t>巡查区域</w:t>
            </w:r>
          </w:p>
          <w:p>
            <w:pPr>
              <w:spacing w:line="219" w:lineRule="auto"/>
              <w:ind w:firstLine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(路段路线)</w:t>
            </w:r>
          </w:p>
        </w:tc>
        <w:tc>
          <w:tcPr>
            <w:tcW w:w="74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巡查内容</w:t>
            </w:r>
          </w:p>
        </w:tc>
        <w:tc>
          <w:tcPr>
            <w:tcW w:w="74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存在的问题</w:t>
            </w:r>
          </w:p>
        </w:tc>
        <w:tc>
          <w:tcPr>
            <w:tcW w:w="74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5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484" w:lineRule="auto"/>
              <w:ind w:left="74" w:right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巡查存在问题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整改落实情况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林长处理意见</w:t>
            </w:r>
          </w:p>
        </w:tc>
        <w:tc>
          <w:tcPr>
            <w:tcW w:w="57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5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整改措施</w:t>
            </w:r>
          </w:p>
        </w:tc>
        <w:tc>
          <w:tcPr>
            <w:tcW w:w="57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firstLine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字</w:t>
            </w:r>
          </w:p>
        </w:tc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601" w:lineRule="exact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28"/>
                <w:sz w:val="23"/>
                <w:szCs w:val="23"/>
              </w:rPr>
              <w:t>参与</w:t>
            </w:r>
          </w:p>
          <w:p>
            <w:pPr>
              <w:spacing w:line="226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巡查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人员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签字</w:t>
            </w:r>
          </w:p>
        </w:tc>
        <w:tc>
          <w:tcPr>
            <w:tcW w:w="48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1900" w:h="16820"/>
          <w:pgMar w:top="1429" w:right="1425" w:bottom="1305" w:left="1445" w:header="0" w:footer="978" w:gutter="0"/>
          <w:cols w:space="720" w:num="1"/>
        </w:sectPr>
      </w:pPr>
    </w:p>
    <w:p/>
    <w:p>
      <w:pPr>
        <w:spacing w:line="226" w:lineRule="exact"/>
      </w:pPr>
    </w:p>
    <w:p>
      <w:pPr>
        <w:sectPr>
          <w:footerReference r:id="rId6" w:type="default"/>
          <w:pgSz w:w="11900" w:h="16820"/>
          <w:pgMar w:top="1429" w:right="1145" w:bottom="1199" w:left="1065" w:header="0" w:footer="1007" w:gutter="0"/>
          <w:cols w:equalWidth="0" w:num="1">
            <w:col w:w="9690"/>
          </w:cols>
        </w:sectPr>
      </w:pPr>
    </w:p>
    <w:p>
      <w:pPr>
        <w:spacing w:before="88" w:line="222" w:lineRule="auto"/>
        <w:ind w:firstLine="58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1" w:line="200" w:lineRule="auto"/>
        <w:ind w:firstLine="56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编号: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43" w:line="219" w:lineRule="auto"/>
        <w:ind w:firstLine="4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林长巡林发现问题交办单</w:t>
      </w:r>
    </w:p>
    <w:p>
      <w:pPr>
        <w:spacing w:before="331" w:line="189" w:lineRule="auto"/>
        <w:ind w:firstLine="440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交办时间:</w:t>
      </w:r>
    </w:p>
    <w:p>
      <w:pPr>
        <w:sectPr>
          <w:type w:val="continuous"/>
          <w:pgSz w:w="11900" w:h="16820"/>
          <w:pgMar w:top="1429" w:right="1145" w:bottom="1199" w:left="1065" w:header="0" w:footer="1007" w:gutter="0"/>
          <w:cols w:equalWidth="0" w:num="2">
            <w:col w:w="1942" w:space="100"/>
            <w:col w:w="7649"/>
          </w:cols>
        </w:sectPr>
      </w:pPr>
    </w:p>
    <w:p>
      <w:pPr>
        <w:spacing w:line="22" w:lineRule="exact"/>
      </w:pPr>
    </w:p>
    <w:tbl>
      <w:tblPr>
        <w:tblStyle w:val="7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279"/>
        <w:gridCol w:w="3106"/>
        <w:gridCol w:w="1109"/>
        <w:gridCol w:w="2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00" w:line="611" w:lineRule="exact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position w:val="22"/>
                <w:sz w:val="31"/>
                <w:szCs w:val="31"/>
              </w:rPr>
              <w:t>交办</w:t>
            </w:r>
          </w:p>
          <w:p>
            <w:pPr>
              <w:spacing w:line="221" w:lineRule="auto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问题</w:t>
            </w:r>
          </w:p>
        </w:tc>
        <w:tc>
          <w:tcPr>
            <w:tcW w:w="798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580" w:lineRule="exact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position w:val="20"/>
                <w:sz w:val="31"/>
                <w:szCs w:val="31"/>
              </w:rPr>
              <w:t>交办</w:t>
            </w:r>
          </w:p>
          <w:p>
            <w:pPr>
              <w:spacing w:line="220" w:lineRule="auto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领导</w:t>
            </w:r>
          </w:p>
        </w:tc>
        <w:tc>
          <w:tcPr>
            <w:tcW w:w="43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620" w:lineRule="exact"/>
              <w:ind w:firstLine="2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position w:val="23"/>
                <w:sz w:val="31"/>
                <w:szCs w:val="31"/>
              </w:rPr>
              <w:t>完成</w:t>
            </w:r>
          </w:p>
          <w:p>
            <w:pPr>
              <w:spacing w:line="220" w:lineRule="auto"/>
              <w:ind w:firstLine="2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时限</w:t>
            </w:r>
          </w:p>
        </w:tc>
        <w:tc>
          <w:tcPr>
            <w:tcW w:w="24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00" w:line="590" w:lineRule="exact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position w:val="21"/>
                <w:sz w:val="31"/>
                <w:szCs w:val="31"/>
              </w:rPr>
              <w:t>责任</w:t>
            </w:r>
          </w:p>
          <w:p>
            <w:pPr>
              <w:spacing w:line="220" w:lineRule="auto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单位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3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牵头</w:t>
            </w:r>
          </w:p>
        </w:tc>
        <w:tc>
          <w:tcPr>
            <w:tcW w:w="3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19" w:lineRule="auto"/>
              <w:ind w:firstLine="8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责任人</w:t>
            </w:r>
          </w:p>
        </w:tc>
        <w:tc>
          <w:tcPr>
            <w:tcW w:w="24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20" w:lineRule="auto"/>
              <w:ind w:firstLine="3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协助</w:t>
            </w:r>
          </w:p>
        </w:tc>
        <w:tc>
          <w:tcPr>
            <w:tcW w:w="3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8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责任人</w:t>
            </w:r>
          </w:p>
        </w:tc>
        <w:tc>
          <w:tcPr>
            <w:tcW w:w="24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101" w:line="360" w:lineRule="auto"/>
              <w:ind w:left="214" w:right="213" w:firstLine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问题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解决措施</w:t>
            </w:r>
          </w:p>
        </w:tc>
        <w:tc>
          <w:tcPr>
            <w:tcW w:w="798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9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firstLine="5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备注</w:t>
            </w:r>
          </w:p>
        </w:tc>
        <w:tc>
          <w:tcPr>
            <w:tcW w:w="798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6" w:line="189" w:lineRule="auto"/>
        <w:ind w:firstLine="51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制发单位(盖章):</w:t>
      </w:r>
    </w:p>
    <w:p>
      <w:pPr>
        <w:spacing w:before="216" w:line="189" w:lineRule="auto"/>
        <w:ind w:firstLine="514"/>
        <w:rPr>
          <w:rFonts w:ascii="仿宋" w:hAnsi="仿宋" w:eastAsia="仿宋" w:cs="仿宋"/>
          <w:sz w:val="34"/>
          <w:szCs w:val="34"/>
        </w:rPr>
      </w:pPr>
    </w:p>
    <w:p>
      <w:pPr>
        <w:spacing w:before="88" w:line="222" w:lineRule="auto"/>
        <w:ind w:firstLine="589"/>
        <w:rPr>
          <w:rFonts w:ascii="仿宋" w:hAnsi="仿宋" w:eastAsia="仿宋" w:cs="仿宋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88" w:line="222" w:lineRule="auto"/>
        <w:ind w:firstLine="58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仿宋" w:hAnsi="仿宋" w:eastAsia="仿宋" w:cs="仿宋"/>
          <w:sz w:val="34"/>
          <w:szCs w:val="34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43" w:line="219" w:lineRule="auto"/>
        <w:ind w:firstLine="499"/>
        <w:jc w:val="center"/>
        <w:rPr>
          <w:rFonts w:hint="eastAsia" w:ascii="宋体" w:hAnsi="宋体" w:eastAsia="宋体" w:cs="宋体"/>
          <w:spacing w:val="-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ind w:firstLine="499"/>
        <w:jc w:val="center"/>
        <w:rPr>
          <w:rFonts w:hint="eastAsia" w:ascii="宋体" w:hAnsi="宋体" w:eastAsia="宋体" w:cs="宋体"/>
          <w:spacing w:val="-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区级林长及区级林长协助单位名单</w:t>
      </w:r>
    </w:p>
    <w:p>
      <w:pPr>
        <w:spacing w:before="143" w:line="219" w:lineRule="auto"/>
        <w:ind w:firstLine="499"/>
        <w:jc w:val="center"/>
        <w:rPr>
          <w:rFonts w:hint="eastAsia" w:ascii="宋体" w:hAnsi="宋体" w:eastAsia="宋体" w:cs="宋体"/>
          <w:spacing w:val="-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区委书记陆勤山，瑶海区区级总林长，协助单位瑶海区林长制办公室；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区委副书记、区长童友好，瑶海区区级总林长，协助单位瑶海区林长制办公室；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合肥东部新中心党工委副书记、建设管理办公室主任、区政府党组副书记宋华龙，红光街道区级林长，协助单位为红光街道；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区委副书记、区委党校校长金飞燕，大兴镇区级林长，协助单位为大兴镇；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区委常委、区委组织部部长、统战部部长、区政协党组副书记杨大维，方庙街道区级林长，协助单位为方庙街道；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区委常委、区委宣传部部长桑宝君，七里站街道区级林长，协助单位为七里站街道；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区委常委、区委政法委书记李祥，和平路街道区级林长，协助单位为和平路街道；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区委常委、区政府党组副书记、常务副区长沈校根，龙岗开发区区级林长，协助单位为龙岗开发区；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区委常委、区纪委书记、区监察委主任刘峰，嘉山路街道区级林长，协助单位为嘉山路街道；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区委常委、区委办公室主任黄贺，铜陵路街道区级林长，协助单位为铜陵路街道；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区政府副区长、市公安局瑶海分局局长姚军，三里街街道区级林长，协助单位为三里街街道；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区政府副区长陆翊，长淮街道区级林长，协助单位为长淮街道；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区政府副区长张燕，明光路街道区级林长，协助单位为明光路街道；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区政府副区长张明，城东街道区级林长，协助单位为城东街道；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区政府副区长张彩云，胜利路街道区级林长，协助单位为胜利路街道。</w:t>
      </w:r>
    </w:p>
    <w:p>
      <w:pPr>
        <w:spacing w:before="143" w:line="219" w:lineRule="auto"/>
        <w:ind w:firstLine="499"/>
        <w:jc w:val="center"/>
        <w:rPr>
          <w:rFonts w:hint="default" w:ascii="宋体" w:hAnsi="宋体" w:eastAsia="宋体" w:cs="宋体"/>
          <w:spacing w:val="-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16" w:line="189" w:lineRule="auto"/>
        <w:ind w:firstLine="514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p>
      <w:pPr>
        <w:pStyle w:val="2"/>
        <w:rPr>
          <w:rFonts w:ascii="仿宋" w:hAnsi="仿宋" w:eastAsia="仿宋" w:cs="仿宋"/>
          <w:sz w:val="34"/>
          <w:szCs w:val="34"/>
        </w:rPr>
      </w:pPr>
    </w:p>
    <w:sectPr>
      <w:type w:val="continuous"/>
      <w:pgSz w:w="11900" w:h="16820"/>
      <w:pgMar w:top="1429" w:right="1145" w:bottom="1199" w:left="1065" w:header="0" w:footer="1007" w:gutter="0"/>
      <w:cols w:equalWidth="0" w:num="1">
        <w:col w:w="96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firstLine="4214"/>
      <w:rPr>
        <w:rFonts w:ascii="仿宋" w:hAnsi="仿宋" w:eastAsia="仿宋" w:cs="仿宋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4544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D902D"/>
    <w:multiLevelType w:val="singleLevel"/>
    <w:tmpl w:val="A8AD902D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VkYTQyMzE3MjgwYTFlNzhjN2MyYjk1ZWIyMzFjMjMifQ=="/>
  </w:docVars>
  <w:rsids>
    <w:rsidRoot w:val="00000000"/>
    <w:rsid w:val="01C55081"/>
    <w:rsid w:val="03546EB4"/>
    <w:rsid w:val="0A2633B4"/>
    <w:rsid w:val="0C5D0955"/>
    <w:rsid w:val="0CBC777C"/>
    <w:rsid w:val="0FAE5031"/>
    <w:rsid w:val="103D695E"/>
    <w:rsid w:val="158510F8"/>
    <w:rsid w:val="17530B3B"/>
    <w:rsid w:val="2FAF52A8"/>
    <w:rsid w:val="32EE7541"/>
    <w:rsid w:val="41712545"/>
    <w:rsid w:val="4B256DFA"/>
    <w:rsid w:val="4B640BE3"/>
    <w:rsid w:val="4EFA5CF5"/>
    <w:rsid w:val="5B2E647F"/>
    <w:rsid w:val="66EA2BB1"/>
    <w:rsid w:val="689B4F1F"/>
    <w:rsid w:val="6B84035A"/>
    <w:rsid w:val="740505E4"/>
    <w:rsid w:val="747B019E"/>
    <w:rsid w:val="74F635A1"/>
    <w:rsid w:val="7DE95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2544</Words>
  <Characters>2549</Characters>
  <TotalTime>26</TotalTime>
  <ScaleCrop>false</ScaleCrop>
  <LinksUpToDate>false</LinksUpToDate>
  <CharactersWithSpaces>2574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2022-03-17T03:19:00Z</dcterms:created>
  <dc:creator>pc</dc:creator>
  <cp:lastModifiedBy>溡氺</cp:lastModifiedBy>
  <cp:lastPrinted>2022-10-14T07:31:15Z</cp:lastPrinted>
  <dcterms:modified xsi:type="dcterms:W3CDTF">2022-10-14T07:33:19Z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2022-03-17T11:17:46Z</vt:filetime>
  </property>
  <property fmtid="{D5CDD505-2E9C-101B-9397-08002B2CF9AE}" pid="4" name="KSOProductBuildVer">
    <vt:lpwstr>2052-11.1.0.12598</vt:lpwstr>
  </property>
  <property fmtid="{D5CDD505-2E9C-101B-9397-08002B2CF9AE}" pid="5" name="ICV">
    <vt:lpwstr>55E5D903F4604847BF49113B6B239965</vt:lpwstr>
  </property>
</Properties>
</file>