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560" w:lineRule="exact"/>
        <w:jc w:val="distribute"/>
        <w:rPr>
          <w:rFonts w:ascii="方正小标宋简体" w:hAnsi="Times New Roman" w:eastAsia="方正小标宋简体" w:cs="Times New Roman"/>
          <w:color w:val="FF0000"/>
          <w:spacing w:val="-10"/>
          <w:w w:val="35"/>
          <w:sz w:val="144"/>
          <w:szCs w:val="144"/>
        </w:rPr>
      </w:pPr>
      <w:r>
        <w:rPr>
          <w:rFonts w:hint="eastAsia" w:ascii="方正小标宋简体" w:hAnsi="Times New Roman" w:eastAsia="方正小标宋简体" w:cs="Times New Roman"/>
          <w:color w:val="FF0000"/>
          <w:spacing w:val="-10"/>
          <w:w w:val="35"/>
          <w:sz w:val="144"/>
          <w:szCs w:val="144"/>
        </w:rPr>
        <w:t>中共合肥市瑶海区教育体育局委员会文件</w:t>
      </w:r>
    </w:p>
    <w:p>
      <w:pPr>
        <w:adjustRightInd w:val="0"/>
        <w:spacing w:line="560" w:lineRule="exact"/>
        <w:jc w:val="center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adjustRightIn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瑶教体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发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〔202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〕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1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FF0000"/>
          <w:sz w:val="66"/>
          <w:szCs w:val="72"/>
        </w:rPr>
      </w:pPr>
      <w:r>
        <w:rPr>
          <w:rFonts w:ascii="Times New Roman" w:hAnsi="Times New Roman" w:eastAsia="仿宋_GB2312" w:cs="Times New Roman"/>
          <w:color w:val="FF0000"/>
          <w:sz w:val="66"/>
          <w:szCs w:val="72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3134995</wp:posOffset>
                </wp:positionH>
                <wp:positionV relativeFrom="paragraph">
                  <wp:posOffset>154940</wp:posOffset>
                </wp:positionV>
                <wp:extent cx="2447925" cy="43180"/>
                <wp:effectExtent l="4445" t="4445" r="16510" b="1333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431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46.85pt;margin-top:12.2pt;height:3.4pt;width:192.75pt;z-index:251660288;mso-width-relative:page;mso-height-relative:page;" fillcolor="#FF0000" filled="t" stroked="t" coordsize="21600,21600" o:gfxdata="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54KUdoAAAAJAQAADwAAAAAAAAABACAAAAAiAAAAZHJzL2Rvd25yZXYu&#10;eG1sUEsBAhQAFAAAAAgAh07iQEDXyC75AQAAHQQAAA4AAAAAAAAAAQAgAAAAKQEAAGRycy9lMm9E&#10;b2MueG1sUEsFBgAAAAAGAAYAWQEAAJQFAAAAAA==&#10;">
                <v:fill on="t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仿宋_GB2312" w:cs="Times New Roman"/>
          <w:color w:val="FF0000"/>
          <w:sz w:val="66"/>
          <w:szCs w:val="72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159385</wp:posOffset>
                </wp:positionV>
                <wp:extent cx="2447925" cy="43180"/>
                <wp:effectExtent l="4445" t="4445" r="16510" b="1333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431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1.3pt;margin-top:12.55pt;height:3.4pt;width:192.75pt;z-index:251659264;mso-width-relative:page;mso-height-relative:page;" fillcolor="#FF0000" filled="t" stroked="t" coordsize="21600,21600" o:gfxdata="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n3ozx1gAAAAcBAAAPAAAAAAAAAAEAIAAAACIAAABkcnMvZG93bnJldi54bWxQ&#10;SwECFAAUAAAACACHTuJADcnuPfkBAAAdBAAADgAAAAAAAAABACAAAAAlAQAAZHJzL2Uyb0RvYy54&#10;bWxQSwUGAAAAAAYABgBZAQAAkAUAAAAA&#10;">
                <v:fill on="t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hAnsi="Times New Roman" w:eastAsia="方正小标宋简体" w:cs="Times New Roman"/>
          <w:color w:val="FF0000"/>
          <w:sz w:val="66"/>
          <w:szCs w:val="72"/>
        </w:rPr>
        <w:t>★</w:t>
      </w:r>
    </w:p>
    <w:p>
      <w:pPr>
        <w:spacing w:line="3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关于深入开展“学在瑶海  活力教育”十大行动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.0版的实施意见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楷体" w:hAnsi="楷体" w:eastAsia="楷体" w:cs="楷体"/>
          <w:color w:val="auto"/>
          <w:sz w:val="36"/>
          <w:szCs w:val="36"/>
        </w:rPr>
        <w:t>（</w:t>
      </w:r>
      <w:r>
        <w:rPr>
          <w:rFonts w:hint="eastAsia" w:ascii="楷体" w:hAnsi="楷体" w:eastAsia="楷体" w:cs="楷体"/>
          <w:color w:val="auto"/>
          <w:sz w:val="36"/>
          <w:szCs w:val="36"/>
          <w:lang w:val="en-US" w:eastAsia="zh-CN"/>
        </w:rPr>
        <w:t>2024年2月20日</w:t>
      </w:r>
      <w:r>
        <w:rPr>
          <w:rFonts w:hint="eastAsia" w:ascii="楷体" w:hAnsi="楷体" w:eastAsia="楷体" w:cs="楷体"/>
          <w:color w:val="auto"/>
          <w:sz w:val="36"/>
          <w:szCs w:val="36"/>
        </w:rPr>
        <w:t>）</w:t>
      </w:r>
    </w:p>
    <w:p>
      <w:pPr>
        <w:pStyle w:val="2"/>
        <w:spacing w:after="0" w:line="560" w:lineRule="exact"/>
        <w:ind w:left="440"/>
        <w:jc w:val="both"/>
        <w:rPr>
          <w:rFonts w:ascii="Times New Roman" w:hAnsi="Times New Roman" w:cs="Times New Roman"/>
          <w:color w:val="auto"/>
        </w:rPr>
      </w:pPr>
    </w:p>
    <w:p>
      <w:pPr>
        <w:pStyle w:val="7"/>
        <w:spacing w:line="580" w:lineRule="exact"/>
        <w:ind w:firstLine="640" w:firstLineChars="20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为深入学习贯彻习近平新时代中国特色社会主义思想，</w:t>
      </w:r>
      <w:r>
        <w:rPr>
          <w:rFonts w:ascii="Times New Roman" w:hAnsi="Times New Roman" w:cs="Times New Roman"/>
          <w:color w:val="auto"/>
          <w:lang w:val="en-US"/>
        </w:rPr>
        <w:t>全面</w:t>
      </w:r>
      <w:r>
        <w:rPr>
          <w:rFonts w:ascii="Times New Roman" w:hAnsi="Times New Roman" w:cs="Times New Roman"/>
          <w:color w:val="auto"/>
        </w:rPr>
        <w:t>贯彻落实党的</w:t>
      </w:r>
      <w:r>
        <w:rPr>
          <w:rFonts w:ascii="Times New Roman" w:hAnsi="Times New Roman" w:cs="Times New Roman"/>
          <w:color w:val="auto"/>
          <w:lang w:val="en-US"/>
        </w:rPr>
        <w:t>二十</w:t>
      </w:r>
      <w:r>
        <w:rPr>
          <w:rFonts w:ascii="Times New Roman" w:hAnsi="Times New Roman" w:cs="Times New Roman"/>
          <w:color w:val="auto"/>
        </w:rPr>
        <w:t>大精神</w:t>
      </w:r>
      <w:r>
        <w:rPr>
          <w:rFonts w:ascii="Times New Roman" w:hAnsi="Times New Roman" w:cs="Times New Roman"/>
          <w:color w:val="auto"/>
          <w:lang w:val="en-US"/>
        </w:rPr>
        <w:t>及习近平总书记关于教育的重要论述</w:t>
      </w:r>
      <w:r>
        <w:rPr>
          <w:rFonts w:ascii="Times New Roman" w:hAnsi="Times New Roman" w:cs="Times New Roman"/>
          <w:color w:val="auto"/>
        </w:rPr>
        <w:t>，坚持和加强党对教育工作的全面领导，</w:t>
      </w:r>
      <w:r>
        <w:rPr>
          <w:rFonts w:hint="eastAsia" w:ascii="Times New Roman" w:hAnsi="Times New Roman" w:cs="Times New Roman"/>
          <w:color w:val="auto"/>
          <w:lang w:val="en-US"/>
        </w:rPr>
        <w:t>落实立德树人根本任务</w:t>
      </w:r>
      <w:r>
        <w:rPr>
          <w:rFonts w:ascii="Times New Roman" w:hAnsi="Times New Roman" w:cs="Times New Roman"/>
          <w:color w:val="auto"/>
        </w:rPr>
        <w:t>，</w:t>
      </w:r>
      <w:r>
        <w:rPr>
          <w:rFonts w:hint="eastAsia" w:ascii="Times New Roman" w:hAnsi="Times New Roman" w:cs="Times New Roman"/>
          <w:color w:val="auto"/>
          <w:lang w:val="en-US"/>
        </w:rPr>
        <w:t>加快建设高质量教育体系，</w:t>
      </w:r>
      <w:r>
        <w:rPr>
          <w:rFonts w:hint="eastAsia" w:ascii="Times New Roman" w:hAnsi="Times New Roman" w:cs="Times New Roman"/>
          <w:color w:val="auto"/>
        </w:rPr>
        <w:t>培养德智体美劳全面发展的社会主义建设者和接班人。</w:t>
      </w:r>
      <w:r>
        <w:rPr>
          <w:rFonts w:ascii="Times New Roman" w:hAnsi="Times New Roman" w:cs="Times New Roman"/>
          <w:color w:val="auto"/>
        </w:rPr>
        <w:t>现就深入开展“</w:t>
      </w:r>
      <w:r>
        <w:rPr>
          <w:rFonts w:ascii="Times New Roman" w:hAnsi="Times New Roman" w:cs="Times New Roman"/>
          <w:color w:val="auto"/>
          <w:lang w:val="en-US"/>
        </w:rPr>
        <w:t>学在瑶海 活力教育</w:t>
      </w:r>
      <w:r>
        <w:rPr>
          <w:rFonts w:ascii="Times New Roman" w:hAnsi="Times New Roman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  <w:lang w:val="en-US"/>
        </w:rPr>
        <w:t>十</w:t>
      </w:r>
      <w:r>
        <w:rPr>
          <w:rFonts w:ascii="Times New Roman" w:hAnsi="Times New Roman" w:cs="Times New Roman"/>
          <w:color w:val="auto"/>
        </w:rPr>
        <w:t>大行动</w:t>
      </w:r>
      <w:r>
        <w:rPr>
          <w:rFonts w:hint="eastAsia" w:ascii="Times New Roman" w:hAnsi="Times New Roman" w:cs="Times New Roman"/>
          <w:color w:val="auto"/>
          <w:lang w:val="en-US"/>
        </w:rPr>
        <w:t>3</w:t>
      </w:r>
      <w:r>
        <w:rPr>
          <w:rFonts w:ascii="Times New Roman" w:hAnsi="Times New Roman" w:cs="Times New Roman"/>
          <w:color w:val="auto"/>
          <w:lang w:val="en-US"/>
        </w:rPr>
        <w:t>.0版</w:t>
      </w:r>
      <w:r>
        <w:rPr>
          <w:rFonts w:ascii="Times New Roman" w:hAnsi="Times New Roman" w:cs="Times New Roman"/>
          <w:color w:val="auto"/>
        </w:rPr>
        <w:t>提出如下实施意见。</w:t>
      </w:r>
    </w:p>
    <w:p>
      <w:pPr>
        <w:pStyle w:val="7"/>
        <w:spacing w:line="580" w:lineRule="exact"/>
        <w:ind w:firstLine="628" w:firstLineChars="200"/>
        <w:jc w:val="both"/>
        <w:rPr>
          <w:rFonts w:ascii="方正公文黑体" w:hAnsi="方正公文黑体" w:eastAsia="方正公文黑体" w:cs="方正公文黑体"/>
          <w:color w:val="auto"/>
          <w:spacing w:val="5"/>
          <w:w w:val="95"/>
          <w:lang w:val="en-US"/>
        </w:rPr>
      </w:pPr>
      <w:r>
        <w:rPr>
          <w:rFonts w:hint="eastAsia" w:ascii="方正公文黑体" w:hAnsi="方正公文黑体" w:eastAsia="方正公文黑体" w:cs="方正公文黑体"/>
          <w:color w:val="auto"/>
          <w:spacing w:val="5"/>
          <w:w w:val="95"/>
        </w:rPr>
        <w:t>一、</w:t>
      </w:r>
      <w:r>
        <w:rPr>
          <w:rFonts w:hint="eastAsia" w:ascii="方正公文黑体" w:hAnsi="方正公文黑体" w:eastAsia="方正公文黑体" w:cs="方正公文黑体"/>
          <w:color w:val="auto"/>
          <w:spacing w:val="5"/>
          <w:w w:val="95"/>
          <w:lang w:val="en-US"/>
        </w:rPr>
        <w:t>工作目标</w:t>
      </w:r>
    </w:p>
    <w:p>
      <w:pPr>
        <w:pStyle w:val="7"/>
        <w:spacing w:line="580" w:lineRule="exact"/>
        <w:ind w:firstLine="640" w:firstLineChars="200"/>
        <w:jc w:val="both"/>
        <w:rPr>
          <w:rFonts w:ascii="Times New Roman" w:hAnsi="Times New Roman" w:cs="Times New Roman"/>
          <w:color w:val="auto"/>
          <w:spacing w:val="5"/>
          <w:w w:val="95"/>
          <w:lang w:val="en-US"/>
        </w:rPr>
      </w:pPr>
      <w:r>
        <w:rPr>
          <w:rFonts w:ascii="Times New Roman" w:hAnsi="Times New Roman" w:cs="Times New Roman"/>
          <w:color w:val="auto"/>
        </w:rPr>
        <w:t>坚持“</w:t>
      </w:r>
      <w:r>
        <w:rPr>
          <w:rFonts w:ascii="Times New Roman" w:hAnsi="Times New Roman" w:cs="Times New Roman"/>
          <w:color w:val="auto"/>
          <w:lang w:val="en-US"/>
        </w:rPr>
        <w:t>11310</w:t>
      </w:r>
      <w:r>
        <w:rPr>
          <w:rFonts w:ascii="Times New Roman" w:hAnsi="Times New Roman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  <w:lang w:val="en-US"/>
        </w:rPr>
        <w:t>发展体系</w:t>
      </w:r>
      <w:r>
        <w:rPr>
          <w:rFonts w:hint="eastAsia" w:hAnsi="Times New Roman" w:cs="Times New Roman"/>
          <w:color w:val="auto"/>
          <w:vertAlign w:val="superscript"/>
          <w:lang w:val="en-US" w:bidi="ar-SA"/>
        </w:rPr>
        <w:t>〔1〕</w:t>
      </w:r>
      <w:r>
        <w:rPr>
          <w:rFonts w:ascii="Times New Roman" w:hAnsi="Times New Roman" w:cs="Times New Roman"/>
          <w:color w:val="auto"/>
          <w:lang w:val="en-US"/>
        </w:rPr>
        <w:t>不动摇，以“学习”和“服务”为</w:t>
      </w:r>
      <w:r>
        <w:rPr>
          <w:rFonts w:hint="eastAsia" w:ascii="Times New Roman" w:hAnsi="Times New Roman" w:cs="Times New Roman"/>
          <w:color w:val="auto"/>
          <w:lang w:val="en-US"/>
        </w:rPr>
        <w:t>行动</w:t>
      </w:r>
      <w:r>
        <w:rPr>
          <w:rFonts w:ascii="Times New Roman" w:hAnsi="Times New Roman" w:cs="Times New Roman"/>
          <w:color w:val="auto"/>
          <w:lang w:val="en-US"/>
        </w:rPr>
        <w:t>主旋律，</w:t>
      </w:r>
      <w:r>
        <w:rPr>
          <w:rFonts w:hint="eastAsia" w:ascii="Times New Roman" w:hAnsi="Times New Roman" w:cs="Times New Roman"/>
          <w:color w:val="auto"/>
          <w:lang w:val="en-US"/>
        </w:rPr>
        <w:t>围绕</w:t>
      </w:r>
      <w:r>
        <w:rPr>
          <w:rFonts w:ascii="Times New Roman" w:hAnsi="Times New Roman" w:cs="Times New Roman"/>
          <w:color w:val="auto"/>
          <w:lang w:val="en-US"/>
        </w:rPr>
        <w:t>“</w:t>
      </w:r>
      <w:r>
        <w:rPr>
          <w:rFonts w:hint="eastAsia" w:ascii="Times New Roman" w:hAnsi="Times New Roman" w:cs="Times New Roman"/>
          <w:color w:val="auto"/>
          <w:lang w:val="en-US"/>
        </w:rPr>
        <w:t>教育就是唤醒和激发</w:t>
      </w:r>
      <w:r>
        <w:rPr>
          <w:rFonts w:ascii="Times New Roman" w:hAnsi="Times New Roman" w:cs="Times New Roman"/>
          <w:color w:val="auto"/>
          <w:lang w:val="en-US"/>
        </w:rPr>
        <w:t>”</w:t>
      </w:r>
      <w:r>
        <w:rPr>
          <w:rFonts w:hint="eastAsia" w:ascii="Times New Roman" w:hAnsi="Times New Roman" w:cs="Times New Roman"/>
          <w:color w:val="auto"/>
          <w:lang w:val="en-US"/>
        </w:rPr>
        <w:t>的瑶海教育主张</w:t>
      </w:r>
      <w:r>
        <w:rPr>
          <w:rFonts w:ascii="Times New Roman" w:hAnsi="Times New Roman" w:cs="Times New Roman"/>
          <w:color w:val="auto"/>
          <w:lang w:val="en-US"/>
        </w:rPr>
        <w:t>，</w:t>
      </w:r>
      <w:r>
        <w:rPr>
          <w:rFonts w:hint="eastAsia" w:ascii="Times New Roman" w:hAnsi="Times New Roman" w:cs="Times New Roman"/>
          <w:color w:val="auto"/>
          <w:lang w:val="en-US"/>
        </w:rPr>
        <w:t>勇敢地闯、大胆地创、扎实地干，建成安徽省学前教育普及普惠发展区、创建全国义务教育优质均衡发展区、助力高中多样化发展，久久为功打造“学在瑶海 活力教育”品牌。</w:t>
      </w:r>
    </w:p>
    <w:p>
      <w:pPr>
        <w:pStyle w:val="7"/>
        <w:spacing w:line="580" w:lineRule="exact"/>
        <w:ind w:firstLine="628" w:firstLineChars="200"/>
        <w:jc w:val="both"/>
        <w:rPr>
          <w:rFonts w:ascii="方正公文黑体" w:hAnsi="方正公文黑体" w:eastAsia="方正公文黑体" w:cs="方正公文黑体"/>
          <w:color w:val="auto"/>
          <w:spacing w:val="5"/>
          <w:w w:val="95"/>
          <w:lang w:val="en-US"/>
        </w:rPr>
      </w:pPr>
      <w:r>
        <w:rPr>
          <w:rFonts w:hint="eastAsia" w:ascii="方正公文黑体" w:hAnsi="方正公文黑体" w:eastAsia="方正公文黑体" w:cs="方正公文黑体"/>
          <w:color w:val="auto"/>
          <w:spacing w:val="5"/>
          <w:w w:val="95"/>
          <w:lang w:val="en-US"/>
        </w:rPr>
        <w:t>二、主要内容</w:t>
      </w:r>
    </w:p>
    <w:p>
      <w:pPr>
        <w:spacing w:line="580" w:lineRule="exact"/>
        <w:ind w:firstLine="643" w:firstLineChars="200"/>
        <w:jc w:val="both"/>
        <w:rPr>
          <w:rFonts w:ascii="Times New Roman" w:hAnsi="Times New Roman" w:cs="Times New Roman"/>
          <w:color w:val="auto"/>
          <w:sz w:val="32"/>
          <w:szCs w:val="32"/>
          <w:lang w:val="en-US"/>
        </w:rPr>
      </w:pP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lang w:val="en-US"/>
        </w:rPr>
        <w:t>1.红烛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  <w:t>党建引领行动。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/>
        </w:rPr>
        <w:t>聚力培育一批有创新、有特色的学校基层党组织，发挥高质量党建对教育高质量发展的引领作用。实现全区中小学校党组织领导的校长负责制全覆盖，选优配强学校党组织书记，创新开展书记、校（园）长职级评审认定，提升学校治理水平。丰富“五心服务”精准党建内涵，夯实星级党支部建设基础，推动“一校一特色”党建品牌建设。打造一批“红芯·未来”名书记工作室、先锋党员工作室。推动“大思政课”文化实践，传承和弘扬爱国主义精神，打造一批思政课程和课程思政的示范“金课”。</w:t>
      </w:r>
    </w:p>
    <w:p>
      <w:pPr>
        <w:pStyle w:val="7"/>
        <w:spacing w:line="580" w:lineRule="exact"/>
        <w:ind w:firstLine="643" w:firstLineChars="200"/>
        <w:jc w:val="both"/>
        <w:rPr>
          <w:rFonts w:ascii="Times New Roman" w:hAnsi="Times New Roman" w:cs="Times New Roman"/>
          <w:color w:val="auto"/>
          <w:lang w:val="en-US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lang w:val="en-US"/>
        </w:rPr>
        <w:t>2</w:t>
      </w:r>
      <w:r>
        <w:rPr>
          <w:rFonts w:ascii="Times New Roman" w:hAnsi="Times New Roman" w:eastAsia="楷体" w:cs="Times New Roman"/>
          <w:b/>
          <w:bCs/>
          <w:color w:val="auto"/>
          <w:lang w:val="en-US"/>
        </w:rPr>
        <w:t>.</w:t>
      </w:r>
      <w:r>
        <w:rPr>
          <w:rFonts w:hint="eastAsia" w:ascii="Times New Roman" w:hAnsi="Times New Roman" w:eastAsia="楷体" w:cs="Times New Roman"/>
          <w:b/>
          <w:bCs/>
          <w:color w:val="auto"/>
          <w:lang w:val="en-US"/>
        </w:rPr>
        <w:t>人才兴教战略</w:t>
      </w:r>
      <w:r>
        <w:rPr>
          <w:rFonts w:ascii="Times New Roman" w:hAnsi="Times New Roman" w:eastAsia="楷体" w:cs="Times New Roman"/>
          <w:b/>
          <w:bCs/>
          <w:color w:val="auto"/>
          <w:lang w:val="en-US"/>
        </w:rPr>
        <w:t>行动。</w:t>
      </w:r>
      <w:r>
        <w:rPr>
          <w:rFonts w:hint="eastAsia" w:ascii="Times New Roman" w:hAnsi="Times New Roman" w:cs="Times New Roman"/>
          <w:color w:val="auto"/>
          <w:lang w:val="en-US"/>
        </w:rPr>
        <w:t>以“人的因素始终是教育发展最核心的因素”为理念，创新人才培养模式，以人才之强支撑教育之强。实施头雁领航项目，打造一支优秀校级干部队伍。实施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后备</w:t>
      </w:r>
      <w:r>
        <w:rPr>
          <w:rFonts w:hint="eastAsia" w:ascii="Times New Roman" w:hAnsi="Times New Roman" w:cs="Times New Roman"/>
          <w:color w:val="auto"/>
          <w:lang w:val="en-US"/>
        </w:rPr>
        <w:t>干部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壮苗</w:t>
      </w:r>
      <w:r>
        <w:rPr>
          <w:rFonts w:hint="eastAsia" w:ascii="Times New Roman" w:hAnsi="Times New Roman" w:cs="Times New Roman"/>
          <w:color w:val="auto"/>
          <w:lang w:val="en-US"/>
        </w:rPr>
        <w:t>项目，建立教体系统后备干部人才库，促进“青年才俊大比武”成果转化，闭环式开展多层次培训，跟踪成长规划，全方位提升青年干部素养。实施“教育家型”教师培育项目，深度探索“双导师制”</w:t>
      </w:r>
      <w:r>
        <w:rPr>
          <w:rFonts w:hint="eastAsia" w:hAnsi="Times New Roman" w:cs="Times New Roman"/>
          <w:color w:val="auto"/>
          <w:vertAlign w:val="superscript"/>
          <w:lang w:val="en-US" w:bidi="ar-SA"/>
        </w:rPr>
        <w:t>〔</w:t>
      </w:r>
      <w:r>
        <w:rPr>
          <w:rFonts w:hAnsi="Times New Roman" w:cs="Times New Roman"/>
          <w:color w:val="auto"/>
          <w:vertAlign w:val="superscript"/>
          <w:lang w:val="en-US" w:bidi="ar-SA"/>
        </w:rPr>
        <w:t>2</w:t>
      </w:r>
      <w:r>
        <w:rPr>
          <w:rFonts w:hint="eastAsia" w:hAnsi="Times New Roman" w:cs="Times New Roman"/>
          <w:color w:val="auto"/>
          <w:vertAlign w:val="superscript"/>
          <w:lang w:val="en-US" w:bidi="ar-SA"/>
        </w:rPr>
        <w:t>〕</w:t>
      </w:r>
      <w:r>
        <w:rPr>
          <w:rFonts w:hint="eastAsia" w:ascii="Times New Roman" w:hAnsi="Times New Roman" w:cs="Times New Roman"/>
          <w:color w:val="auto"/>
          <w:lang w:val="en-US"/>
        </w:rPr>
        <w:t>，扎实推进“四读四学”</w:t>
      </w:r>
      <w:r>
        <w:rPr>
          <w:rFonts w:hint="eastAsia" w:hAnsi="Times New Roman" w:cs="Times New Roman"/>
          <w:color w:val="auto"/>
          <w:vertAlign w:val="superscript"/>
          <w:lang w:val="en-US" w:bidi="ar-SA"/>
        </w:rPr>
        <w:t xml:space="preserve"> 〔</w:t>
      </w:r>
      <w:r>
        <w:rPr>
          <w:rFonts w:hAnsi="Times New Roman" w:cs="Times New Roman"/>
          <w:color w:val="auto"/>
          <w:vertAlign w:val="superscript"/>
          <w:lang w:val="en-US" w:bidi="ar-SA"/>
        </w:rPr>
        <w:t>3</w:t>
      </w:r>
      <w:r>
        <w:rPr>
          <w:rFonts w:hint="eastAsia" w:hAnsi="Times New Roman" w:cs="Times New Roman"/>
          <w:color w:val="auto"/>
          <w:vertAlign w:val="superscript"/>
          <w:lang w:val="en-US" w:bidi="ar-SA"/>
        </w:rPr>
        <w:t>〕</w:t>
      </w:r>
      <w:r>
        <w:rPr>
          <w:rFonts w:hint="eastAsia" w:ascii="Times New Roman" w:hAnsi="Times New Roman" w:cs="Times New Roman"/>
          <w:color w:val="auto"/>
          <w:lang w:val="en-US"/>
        </w:rPr>
        <w:t>模式，培养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为学、为事、为人示范的新时代</w:t>
      </w:r>
      <w:r>
        <w:rPr>
          <w:rFonts w:hint="eastAsia" w:ascii="Times New Roman" w:hAnsi="Times New Roman" w:cs="Times New Roman"/>
          <w:color w:val="auto"/>
          <w:lang w:val="en-US"/>
        </w:rPr>
        <w:t>“大先生”。</w:t>
      </w:r>
    </w:p>
    <w:p>
      <w:pPr>
        <w:pStyle w:val="7"/>
        <w:spacing w:line="580" w:lineRule="exact"/>
        <w:ind w:firstLine="643" w:firstLineChars="200"/>
        <w:jc w:val="both"/>
        <w:rPr>
          <w:rFonts w:ascii="Times New Roman" w:hAnsi="Times New Roman" w:cs="Times New Roman"/>
          <w:b/>
          <w:bCs/>
          <w:color w:val="auto"/>
          <w:spacing w:val="-4"/>
          <w:lang w:val="en-US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lang w:val="en-US"/>
        </w:rPr>
        <w:t>3</w:t>
      </w:r>
      <w:r>
        <w:rPr>
          <w:rFonts w:ascii="Times New Roman" w:hAnsi="Times New Roman" w:eastAsia="楷体" w:cs="Times New Roman"/>
          <w:b/>
          <w:bCs/>
          <w:color w:val="auto"/>
          <w:lang w:val="en-US"/>
        </w:rPr>
        <w:t>.</w:t>
      </w:r>
      <w:r>
        <w:rPr>
          <w:rFonts w:hint="eastAsia" w:ascii="Times New Roman" w:hAnsi="Times New Roman" w:eastAsia="楷体" w:cs="Times New Roman"/>
          <w:b/>
          <w:bCs/>
          <w:color w:val="auto"/>
          <w:lang w:val="en-US"/>
        </w:rPr>
        <w:t>五育融合</w:t>
      </w:r>
      <w:r>
        <w:rPr>
          <w:rFonts w:ascii="Times New Roman" w:hAnsi="Times New Roman" w:eastAsia="楷体" w:cs="Times New Roman"/>
          <w:b/>
          <w:bCs/>
          <w:color w:val="auto"/>
        </w:rPr>
        <w:t>固本行动。</w:t>
      </w:r>
      <w:r>
        <w:rPr>
          <w:rFonts w:hint="eastAsia" w:ascii="Times New Roman" w:hAnsi="Times New Roman" w:cs="Times New Roman"/>
          <w:color w:val="auto"/>
          <w:spacing w:val="-4"/>
          <w:lang w:val="en-US"/>
        </w:rPr>
        <w:t>以安徽省实施德智体美劳“五大行动”实验区为抓手，坚持“三全育人”</w:t>
      </w:r>
      <w:r>
        <w:rPr>
          <w:rFonts w:hint="eastAsia" w:hAnsi="Times New Roman" w:cs="Times New Roman"/>
          <w:color w:val="auto"/>
          <w:vertAlign w:val="superscript"/>
          <w:lang w:val="en-US" w:bidi="ar-SA"/>
        </w:rPr>
        <w:t>〔</w:t>
      </w:r>
      <w:r>
        <w:rPr>
          <w:rFonts w:hAnsi="Times New Roman" w:cs="Times New Roman"/>
          <w:color w:val="auto"/>
          <w:vertAlign w:val="superscript"/>
          <w:lang w:val="en-US" w:bidi="ar-SA"/>
        </w:rPr>
        <w:t>4</w:t>
      </w:r>
      <w:r>
        <w:rPr>
          <w:rFonts w:hint="eastAsia" w:hAnsi="Times New Roman" w:cs="Times New Roman"/>
          <w:color w:val="auto"/>
          <w:vertAlign w:val="superscript"/>
          <w:lang w:val="en-US" w:bidi="ar-SA"/>
        </w:rPr>
        <w:t>〕</w:t>
      </w:r>
      <w:r>
        <w:rPr>
          <w:rFonts w:hint="eastAsia" w:ascii="Times New Roman" w:hAnsi="Times New Roman" w:cs="Times New Roman"/>
          <w:color w:val="auto"/>
          <w:spacing w:val="-4"/>
          <w:lang w:val="en-US"/>
        </w:rPr>
        <w:t>理念，深度探索“五育并举融合一体化”有效推进，培养瑶海“五美学生”</w:t>
      </w:r>
      <w:r>
        <w:rPr>
          <w:rFonts w:hint="eastAsia" w:hAnsi="Times New Roman" w:cs="Times New Roman"/>
          <w:color w:val="auto"/>
          <w:vertAlign w:val="superscript"/>
          <w:lang w:val="en-US" w:bidi="ar-SA"/>
        </w:rPr>
        <w:t>〔</w:t>
      </w:r>
      <w:r>
        <w:rPr>
          <w:rFonts w:hAnsi="Times New Roman" w:cs="Times New Roman"/>
          <w:color w:val="auto"/>
          <w:vertAlign w:val="superscript"/>
          <w:lang w:val="en-US" w:bidi="ar-SA"/>
        </w:rPr>
        <w:t>5</w:t>
      </w:r>
      <w:r>
        <w:rPr>
          <w:rFonts w:hint="eastAsia" w:hAnsi="Times New Roman" w:cs="Times New Roman"/>
          <w:color w:val="auto"/>
          <w:vertAlign w:val="superscript"/>
          <w:lang w:val="en-US" w:bidi="ar-SA"/>
        </w:rPr>
        <w:t>〕</w:t>
      </w:r>
      <w:r>
        <w:rPr>
          <w:rFonts w:hint="eastAsia" w:ascii="Times New Roman" w:hAnsi="Times New Roman" w:cs="Times New Roman"/>
          <w:color w:val="auto"/>
          <w:spacing w:val="-4"/>
          <w:lang w:val="en-US"/>
        </w:rPr>
        <w:t>。升级瑶海区德育文化艺术节品牌，创新“德育+”模式，建强德育队伍，拓宽展示平台，助力学生全面发展。实施美育浸润行动，构建艺术学科与其他学科协同推进的美育课程体系，评选一批美育示范校，建设一批美育名师工作室，培育一批学生艺术团。全面激发劳动育人功能，发挥“五育并举”15分钟基地圈和校园优化大师工作室阵地作用，通过“校本课程、项目化学习、</w:t>
      </w:r>
      <w:r>
        <w:rPr>
          <w:rFonts w:hint="eastAsia" w:ascii="Times New Roman" w:hAnsi="Times New Roman" w:cs="Times New Roman"/>
          <w:color w:val="auto"/>
          <w:spacing w:val="-4"/>
          <w:lang w:val="en-US" w:eastAsia="zh-CN"/>
        </w:rPr>
        <w:t>研学</w:t>
      </w:r>
      <w:r>
        <w:rPr>
          <w:rFonts w:hint="eastAsia" w:ascii="Times New Roman" w:hAnsi="Times New Roman" w:cs="Times New Roman"/>
          <w:color w:val="auto"/>
          <w:spacing w:val="-4"/>
          <w:lang w:val="en-US"/>
        </w:rPr>
        <w:t>实践活动”等路径，实现形成一个意识，养成一个习惯，练成一项技能的“三个一”目标。</w:t>
      </w:r>
    </w:p>
    <w:p>
      <w:pPr>
        <w:spacing w:line="580" w:lineRule="exact"/>
        <w:ind w:firstLine="643" w:firstLineChars="200"/>
        <w:rPr>
          <w:rFonts w:ascii="Times New Roman" w:hAnsi="Times New Roman" w:cs="Times New Roman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lang w:val="en-US"/>
        </w:rPr>
        <w:t>4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  <w:t>.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lang w:val="en-US"/>
        </w:rPr>
        <w:t>优质均衡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  <w:t>发展行动。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/>
        </w:rPr>
        <w:t>以创建全国义务教育优质均衡发展区为目标，按照“动车跑得快，节节都发力”的动车组理念，优化资源配置，聚焦品质发展，满足人民群众“上好学”的美好愿望。创新“先导后督”工作模式，促进督导工作提档升级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/>
        </w:rPr>
        <w:t>科学规划学校布局，挖掘资源，释放学位，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新建改扩建6所中小学幼儿园，计划新增学位5248个，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/>
        </w:rPr>
        <w:t>建成合肥市三十八中学嘉山校区、半塔路幼儿园等1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/>
        </w:rPr>
        <w:t>所中小学幼儿园，新增学位5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340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/>
        </w:rPr>
        <w:t>个。提升校园品质，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对6所学校进行提质扩优、品牌塑造，实现传统文化与现代校园文化的迭代创新。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/>
        </w:rPr>
        <w:t>推进集团化、共同体、新优质学校有质量的发展，引导民办学校内涵发展，聚焦办学规划、办学特色，做强存量、做优增量，打造各类样态典范学校8-10所。探索高中多样化发展路径，适应学生特长优势和发展需要，做强体育、艺术特色，实现人人都能接受适合的教育。</w:t>
      </w:r>
    </w:p>
    <w:p>
      <w:pPr>
        <w:pStyle w:val="7"/>
        <w:spacing w:line="580" w:lineRule="exact"/>
        <w:ind w:firstLine="643" w:firstLineChars="200"/>
        <w:jc w:val="both"/>
        <w:rPr>
          <w:rFonts w:ascii="Times New Roman" w:hAnsi="Times New Roman" w:cs="Times New Roman"/>
          <w:color w:val="auto"/>
          <w:lang w:val="en-US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lang w:val="en-US"/>
        </w:rPr>
        <w:t>5</w:t>
      </w:r>
      <w:r>
        <w:rPr>
          <w:rFonts w:ascii="Times New Roman" w:hAnsi="Times New Roman" w:eastAsia="楷体" w:cs="Times New Roman"/>
          <w:b/>
          <w:bCs/>
          <w:color w:val="auto"/>
          <w:lang w:val="en-US"/>
        </w:rPr>
        <w:t>.学前教育双普行动。</w:t>
      </w:r>
      <w:r>
        <w:rPr>
          <w:rFonts w:hint="eastAsia" w:ascii="Times New Roman" w:hAnsi="Times New Roman" w:cs="Times New Roman"/>
          <w:color w:val="auto"/>
          <w:lang w:val="en-US"/>
        </w:rPr>
        <w:t>以建成安徽省学前教育普及普惠发展区为目标，加快建设“有质量”的学前教育公共服务体系，实现“幼有优育”。加强幼教团队建设，制定幼儿教师梯队成长计划，探索“岗前+岗后”培养一体化发展路径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，</w:t>
      </w:r>
      <w:r>
        <w:rPr>
          <w:rFonts w:hint="eastAsia" w:ascii="Times New Roman" w:hAnsi="Times New Roman" w:cs="Times New Roman"/>
          <w:color w:val="auto"/>
          <w:lang w:val="en-US"/>
        </w:rPr>
        <w:t>完善幼儿教师流动机制和管理模式，实现学前教育优势资源共建共享。依托高校引领，推进幼儿园品牌课程建设，重点打造STEM特色课程，推广安吉游戏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，</w:t>
      </w:r>
      <w:r>
        <w:rPr>
          <w:rFonts w:hint="eastAsia" w:ascii="Times New Roman" w:hAnsi="Times New Roman" w:cs="Times New Roman"/>
          <w:color w:val="auto"/>
          <w:lang w:val="en-US"/>
        </w:rPr>
        <w:t>建立幼小课程双向科学衔接机制，搭建幼小联合教研平台，推动幼小衔接研究实践与成果展示。深入推进集团化办园，优化调整集团办园布局，建立考核机制，强化业务指导，实现学前教育品质提升、品牌凸显。</w:t>
      </w:r>
    </w:p>
    <w:p>
      <w:pPr>
        <w:pStyle w:val="7"/>
        <w:spacing w:line="580" w:lineRule="exact"/>
        <w:ind w:firstLine="643" w:firstLineChars="200"/>
        <w:jc w:val="both"/>
        <w:rPr>
          <w:rFonts w:ascii="Times New Roman" w:hAnsi="Times New Roman" w:cs="Times New Roman"/>
          <w:color w:val="auto"/>
          <w:lang w:val="en-US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lang w:val="en-US"/>
        </w:rPr>
        <w:t>6</w:t>
      </w:r>
      <w:r>
        <w:rPr>
          <w:rFonts w:ascii="Times New Roman" w:hAnsi="Times New Roman" w:eastAsia="楷体" w:cs="Times New Roman"/>
          <w:b/>
          <w:bCs/>
          <w:color w:val="auto"/>
          <w:lang w:val="en-US"/>
        </w:rPr>
        <w:t>.教育质量提升行动。</w:t>
      </w:r>
      <w:r>
        <w:rPr>
          <w:rFonts w:hint="eastAsia" w:ascii="Times New Roman" w:hAnsi="Times New Roman" w:cs="Times New Roman"/>
          <w:color w:val="auto"/>
          <w:lang w:val="en-US"/>
        </w:rPr>
        <w:t>聚焦教育教学改革，着眼课程建设、课堂教学、精准教研，提升全区教育教学质量。强化课程建设，构建高质量学校课程体系，优化精品课程培育路径，推进学校课程建设项目，培育6-8所课程文化建设样板校。改进课堂教学，推动以“学习”为中心的“生本课堂”建设，加强对大单元教学、项目化学习的研究，探索跨学科教学实践。加强“教学评一体化”研究，优化作业设计，把课题落在课堂上，实现“校校有项目、人人做科研”。创新教研模式，实施精准教研，从制度创新、教学管理、常规教研、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大数据</w:t>
      </w:r>
      <w:r>
        <w:rPr>
          <w:rFonts w:hint="eastAsia" w:ascii="Times New Roman" w:hAnsi="Times New Roman" w:cs="Times New Roman"/>
          <w:color w:val="auto"/>
          <w:lang w:val="en-US"/>
        </w:rPr>
        <w:t>评价等方面精准发力，促进区域教研水平实现跨越式发展。</w:t>
      </w:r>
    </w:p>
    <w:p>
      <w:pPr>
        <w:pStyle w:val="7"/>
        <w:spacing w:line="580" w:lineRule="exact"/>
        <w:ind w:firstLine="643" w:firstLineChars="200"/>
        <w:jc w:val="both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eastAsia="楷体" w:cs="Times New Roman"/>
          <w:b/>
          <w:bCs/>
          <w:color w:val="auto"/>
        </w:rPr>
        <w:t>7.</w:t>
      </w:r>
      <w:r>
        <w:rPr>
          <w:rFonts w:hint="eastAsia" w:ascii="Times New Roman" w:hAnsi="Times New Roman" w:eastAsia="楷体" w:cs="Times New Roman"/>
          <w:b/>
          <w:bCs/>
          <w:color w:val="auto"/>
          <w:lang w:val="en-US"/>
        </w:rPr>
        <w:t>数字</w:t>
      </w:r>
      <w:r>
        <w:rPr>
          <w:rFonts w:ascii="Times New Roman" w:hAnsi="Times New Roman" w:eastAsia="楷体" w:cs="Times New Roman"/>
          <w:b/>
          <w:bCs/>
          <w:color w:val="auto"/>
        </w:rPr>
        <w:t>教育</w:t>
      </w:r>
      <w:r>
        <w:rPr>
          <w:rFonts w:ascii="Times New Roman" w:hAnsi="Times New Roman" w:eastAsia="楷体" w:cs="Times New Roman"/>
          <w:b/>
          <w:bCs/>
          <w:color w:val="auto"/>
          <w:lang w:val="en-US"/>
        </w:rPr>
        <w:t>赋能</w:t>
      </w:r>
      <w:r>
        <w:rPr>
          <w:rFonts w:ascii="Times New Roman" w:hAnsi="Times New Roman" w:eastAsia="楷体" w:cs="Times New Roman"/>
          <w:b/>
          <w:bCs/>
          <w:color w:val="auto"/>
        </w:rPr>
        <w:t>行动。</w:t>
      </w:r>
      <w:r>
        <w:rPr>
          <w:rFonts w:hint="eastAsia" w:ascii="Times New Roman" w:hAnsi="Times New Roman" w:cs="Times New Roman"/>
          <w:color w:val="auto"/>
        </w:rPr>
        <w:t>坚持</w:t>
      </w:r>
      <w:r>
        <w:rPr>
          <w:rFonts w:hint="eastAsia" w:ascii="Times New Roman" w:hAnsi="Times New Roman" w:cs="Times New Roman"/>
          <w:color w:val="auto"/>
          <w:lang w:val="en-US"/>
        </w:rPr>
        <w:t>“高端引领、行政推动、有效融合、科学发展”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的教育信息化</w:t>
      </w:r>
      <w:r>
        <w:rPr>
          <w:rFonts w:hint="eastAsia" w:ascii="Times New Roman" w:hAnsi="Times New Roman" w:cs="Times New Roman"/>
          <w:color w:val="auto"/>
          <w:lang w:val="en-US"/>
        </w:rPr>
        <w:t>发展主线</w:t>
      </w:r>
      <w:r>
        <w:rPr>
          <w:rFonts w:hint="eastAsia" w:ascii="Times New Roman" w:hAnsi="Times New Roman" w:cs="Times New Roman"/>
          <w:color w:val="auto"/>
        </w:rPr>
        <w:t>，开辟教育数字化新赛道，全面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赋能</w:t>
      </w:r>
      <w:r>
        <w:rPr>
          <w:rFonts w:hint="eastAsia" w:ascii="Times New Roman" w:hAnsi="Times New Roman" w:cs="Times New Roman"/>
          <w:color w:val="auto"/>
        </w:rPr>
        <w:t>教育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高质量发展</w:t>
      </w:r>
      <w:r>
        <w:rPr>
          <w:rFonts w:hint="eastAsia" w:ascii="Times New Roman" w:hAnsi="Times New Roman" w:cs="Times New Roman"/>
          <w:color w:val="auto"/>
        </w:rPr>
        <w:t>。</w:t>
      </w:r>
      <w:r>
        <w:rPr>
          <w:rFonts w:hint="eastAsia" w:ascii="Times New Roman" w:hAnsi="Times New Roman" w:cs="Times New Roman"/>
          <w:color w:val="auto"/>
          <w:lang w:val="en-US"/>
        </w:rPr>
        <w:t>重在</w:t>
      </w:r>
      <w:r>
        <w:rPr>
          <w:rFonts w:hint="eastAsia" w:ascii="Times New Roman" w:hAnsi="Times New Roman" w:cs="Times New Roman"/>
          <w:color w:val="auto"/>
        </w:rPr>
        <w:t>应用，</w:t>
      </w:r>
      <w:r>
        <w:rPr>
          <w:rFonts w:hint="eastAsia" w:ascii="Times New Roman" w:hAnsi="Times New Roman" w:cs="Times New Roman"/>
          <w:color w:val="auto"/>
          <w:lang w:val="en-US"/>
        </w:rPr>
        <w:t>盘活资源</w:t>
      </w:r>
      <w:r>
        <w:rPr>
          <w:rFonts w:hint="eastAsia" w:ascii="Times New Roman" w:hAnsi="Times New Roman" w:cs="Times New Roman"/>
          <w:color w:val="auto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</w:rPr>
        <w:t>完善“装→训→研→用→评”五位一体工作机制，推动优质教育资源共享。</w:t>
      </w:r>
      <w:r>
        <w:rPr>
          <w:rFonts w:hint="eastAsia" w:ascii="Times New Roman" w:hAnsi="Times New Roman" w:cs="Times New Roman"/>
          <w:color w:val="auto"/>
          <w:lang w:val="en-US"/>
        </w:rPr>
        <w:t>重在创新，激发兴趣，</w:t>
      </w:r>
      <w:r>
        <w:rPr>
          <w:rFonts w:hint="eastAsia" w:ascii="Times New Roman" w:hAnsi="Times New Roman" w:cs="Times New Roman"/>
          <w:color w:val="auto"/>
        </w:rPr>
        <w:t>培育跨学科、跨时空的</w:t>
      </w:r>
      <w:r>
        <w:rPr>
          <w:rFonts w:hint="eastAsia" w:ascii="Times New Roman" w:hAnsi="Times New Roman" w:cs="Times New Roman"/>
          <w:color w:val="auto"/>
          <w:lang w:val="en-US"/>
        </w:rPr>
        <w:t>STEM教育</w:t>
      </w:r>
      <w:r>
        <w:rPr>
          <w:rFonts w:hint="eastAsia" w:ascii="Times New Roman" w:hAnsi="Times New Roman" w:cs="Times New Roman"/>
          <w:color w:val="auto"/>
        </w:rPr>
        <w:t>学习共同体，形成以数据驱动的教学新范式。</w:t>
      </w:r>
      <w:r>
        <w:rPr>
          <w:rFonts w:hint="eastAsia" w:ascii="Times New Roman" w:hAnsi="Times New Roman" w:cs="Times New Roman"/>
          <w:color w:val="auto"/>
          <w:lang w:val="en-US"/>
        </w:rPr>
        <w:t>重在协作，内外联动，依托中国教科院高端引领，助力未来学校实践研究，强化省市区共建，深化馆社校协作，</w:t>
      </w:r>
      <w:r>
        <w:rPr>
          <w:rFonts w:hint="eastAsia" w:ascii="Times New Roman" w:hAnsi="Times New Roman" w:cs="Times New Roman"/>
          <w:color w:val="auto"/>
        </w:rPr>
        <w:t>推动中小学科学教育，</w:t>
      </w:r>
      <w:r>
        <w:rPr>
          <w:rFonts w:hint="eastAsia" w:ascii="Times New Roman" w:hAnsi="Times New Roman" w:cs="Times New Roman"/>
          <w:color w:val="auto"/>
          <w:lang w:val="en-US"/>
        </w:rPr>
        <w:t>配齐科学副校长，</w:t>
      </w:r>
      <w:r>
        <w:rPr>
          <w:rFonts w:hint="eastAsia" w:ascii="Times New Roman" w:hAnsi="Times New Roman" w:cs="Times New Roman"/>
          <w:color w:val="auto"/>
        </w:rPr>
        <w:t>提升学生科学素养</w:t>
      </w:r>
      <w:r>
        <w:rPr>
          <w:rFonts w:hint="eastAsia" w:ascii="Times New Roman" w:hAnsi="Times New Roman" w:cs="Times New Roman"/>
          <w:color w:val="auto"/>
          <w:lang w:val="en-US"/>
        </w:rPr>
        <w:t>。</w:t>
      </w:r>
    </w:p>
    <w:p>
      <w:pPr>
        <w:pStyle w:val="7"/>
        <w:spacing w:line="580" w:lineRule="exact"/>
        <w:ind w:firstLine="643" w:firstLineChars="200"/>
        <w:jc w:val="both"/>
        <w:rPr>
          <w:rFonts w:ascii="Times New Roman" w:hAnsi="Times New Roman" w:cs="Times New Roman"/>
          <w:color w:val="auto"/>
          <w:spacing w:val="-6"/>
          <w:lang w:val="en-US"/>
        </w:rPr>
      </w:pPr>
      <w:r>
        <w:rPr>
          <w:rFonts w:ascii="Times New Roman" w:hAnsi="Times New Roman" w:eastAsia="楷体" w:cs="Times New Roman"/>
          <w:b/>
          <w:color w:val="auto"/>
        </w:rPr>
        <w:t>8.体教融合促进行动。</w:t>
      </w:r>
      <w:r>
        <w:rPr>
          <w:rFonts w:hint="eastAsia" w:ascii="Times New Roman" w:hAnsi="Times New Roman" w:cs="Times New Roman"/>
          <w:color w:val="auto"/>
          <w:spacing w:val="-6"/>
        </w:rPr>
        <w:t>树立健康第一的教育理念，落实全民健身国家战略，不断提高健康水平。</w:t>
      </w:r>
      <w:r>
        <w:rPr>
          <w:rFonts w:hint="eastAsia" w:ascii="Times New Roman" w:hAnsi="Times New Roman" w:cs="Times New Roman"/>
          <w:color w:val="auto"/>
          <w:spacing w:val="-6"/>
          <w:lang w:val="en-US"/>
        </w:rPr>
        <w:t>建好用好体育</w:t>
      </w:r>
      <w:r>
        <w:rPr>
          <w:rFonts w:hint="eastAsia" w:ascii="Times New Roman" w:hAnsi="Times New Roman" w:cs="Times New Roman"/>
          <w:color w:val="auto"/>
          <w:spacing w:val="-6"/>
        </w:rPr>
        <w:t>设施，实现“</w:t>
      </w:r>
      <w:r>
        <w:rPr>
          <w:rFonts w:hint="eastAsia" w:ascii="Times New Roman" w:hAnsi="Times New Roman" w:cs="Times New Roman"/>
          <w:color w:val="auto"/>
          <w:spacing w:val="-6"/>
          <w:lang w:val="en-US"/>
        </w:rPr>
        <w:t>快乐</w:t>
      </w:r>
      <w:r>
        <w:rPr>
          <w:rFonts w:hint="eastAsia" w:ascii="Times New Roman" w:hAnsi="Times New Roman" w:cs="Times New Roman"/>
          <w:color w:val="auto"/>
          <w:spacing w:val="-6"/>
        </w:rPr>
        <w:t>健身”设施全覆盖，推进体育重点项目建设，打造15分钟健身圈。落实学校体育场地对外开放，满足群众</w:t>
      </w:r>
      <w:r>
        <w:rPr>
          <w:rFonts w:hint="eastAsia" w:ascii="Times New Roman" w:hAnsi="Times New Roman" w:cs="Times New Roman"/>
          <w:color w:val="auto"/>
          <w:spacing w:val="-6"/>
          <w:lang w:val="en-US"/>
        </w:rPr>
        <w:t>健身</w:t>
      </w:r>
      <w:r>
        <w:rPr>
          <w:rFonts w:hint="eastAsia" w:ascii="Times New Roman" w:hAnsi="Times New Roman" w:cs="Times New Roman"/>
          <w:color w:val="auto"/>
          <w:spacing w:val="-6"/>
        </w:rPr>
        <w:t>需求。</w:t>
      </w:r>
      <w:r>
        <w:rPr>
          <w:rFonts w:hint="eastAsia" w:ascii="Times New Roman" w:hAnsi="Times New Roman" w:cs="Times New Roman"/>
          <w:color w:val="auto"/>
          <w:spacing w:val="-6"/>
          <w:lang w:val="en-US"/>
        </w:rPr>
        <w:t>办好赛好体育</w:t>
      </w:r>
      <w:r>
        <w:rPr>
          <w:rFonts w:hint="eastAsia" w:ascii="Times New Roman" w:hAnsi="Times New Roman" w:cs="Times New Roman"/>
          <w:color w:val="auto"/>
          <w:spacing w:val="-6"/>
        </w:rPr>
        <w:t>活动，丰富赛事活动供给，</w:t>
      </w:r>
      <w:r>
        <w:rPr>
          <w:rFonts w:hint="eastAsia" w:ascii="Times New Roman" w:hAnsi="Times New Roman" w:cs="Times New Roman"/>
          <w:color w:val="auto"/>
          <w:spacing w:val="-6"/>
          <w:lang w:val="en-US"/>
        </w:rPr>
        <w:t>进一步完善</w:t>
      </w:r>
      <w:r>
        <w:rPr>
          <w:rFonts w:hint="eastAsia" w:ascii="Times New Roman" w:hAnsi="Times New Roman" w:cs="Times New Roman"/>
          <w:color w:val="auto"/>
          <w:spacing w:val="-6"/>
        </w:rPr>
        <w:t>“校内竞赛—校际联赛—区级决赛”中小学联赛</w:t>
      </w:r>
      <w:r>
        <w:rPr>
          <w:rFonts w:hint="eastAsia" w:ascii="Times New Roman" w:hAnsi="Times New Roman" w:cs="Times New Roman"/>
          <w:color w:val="auto"/>
          <w:spacing w:val="-6"/>
          <w:lang w:val="en-US"/>
        </w:rPr>
        <w:t>机制</w:t>
      </w:r>
      <w:r>
        <w:rPr>
          <w:rFonts w:hint="eastAsia" w:ascii="Times New Roman" w:hAnsi="Times New Roman" w:cs="Times New Roman"/>
          <w:color w:val="auto"/>
          <w:spacing w:val="-6"/>
        </w:rPr>
        <w:t>。</w:t>
      </w:r>
      <w:r>
        <w:rPr>
          <w:rFonts w:hint="eastAsia" w:ascii="Times New Roman" w:hAnsi="Times New Roman" w:cs="Times New Roman"/>
          <w:color w:val="auto"/>
          <w:spacing w:val="-6"/>
          <w:lang w:val="en-US"/>
        </w:rPr>
        <w:t>抓住</w:t>
      </w:r>
      <w:r>
        <w:rPr>
          <w:rFonts w:hint="eastAsia" w:ascii="Times New Roman" w:hAnsi="Times New Roman" w:cs="Times New Roman"/>
          <w:color w:val="auto"/>
          <w:spacing w:val="-6"/>
        </w:rPr>
        <w:t>“</w:t>
      </w:r>
      <w:r>
        <w:rPr>
          <w:rFonts w:hint="eastAsia" w:ascii="Times New Roman" w:hAnsi="Times New Roman" w:cs="Times New Roman"/>
          <w:color w:val="auto"/>
          <w:spacing w:val="-6"/>
          <w:lang w:val="en-US"/>
        </w:rPr>
        <w:t>省、</w:t>
      </w:r>
      <w:r>
        <w:rPr>
          <w:rFonts w:hint="eastAsia" w:ascii="Times New Roman" w:hAnsi="Times New Roman" w:cs="Times New Roman"/>
          <w:color w:val="auto"/>
          <w:spacing w:val="-6"/>
        </w:rPr>
        <w:t>市队校办”等</w:t>
      </w:r>
      <w:r>
        <w:rPr>
          <w:rFonts w:hint="eastAsia" w:ascii="Times New Roman" w:hAnsi="Times New Roman" w:cs="Times New Roman"/>
          <w:color w:val="auto"/>
          <w:spacing w:val="-6"/>
          <w:lang w:val="en-US"/>
        </w:rPr>
        <w:t>契机</w:t>
      </w:r>
      <w:r>
        <w:rPr>
          <w:rFonts w:hint="eastAsia" w:ascii="Times New Roman" w:hAnsi="Times New Roman" w:cs="Times New Roman"/>
          <w:color w:val="auto"/>
          <w:spacing w:val="-6"/>
        </w:rPr>
        <w:t>，打造学校体育特色品牌。</w:t>
      </w:r>
      <w:r>
        <w:rPr>
          <w:rFonts w:hint="eastAsia" w:ascii="Times New Roman" w:hAnsi="Times New Roman" w:cs="Times New Roman"/>
          <w:color w:val="auto"/>
          <w:spacing w:val="-6"/>
          <w:lang w:val="en-US"/>
        </w:rPr>
        <w:t>开足开齐体育课程</w:t>
      </w:r>
      <w:r>
        <w:rPr>
          <w:rFonts w:hint="eastAsia" w:ascii="Times New Roman" w:hAnsi="Times New Roman" w:cs="Times New Roman"/>
          <w:color w:val="auto"/>
          <w:spacing w:val="-6"/>
        </w:rPr>
        <w:t>，</w:t>
      </w:r>
      <w:r>
        <w:rPr>
          <w:rFonts w:hint="eastAsia" w:ascii="Times New Roman" w:hAnsi="Times New Roman" w:cs="Times New Roman"/>
          <w:color w:val="auto"/>
          <w:spacing w:val="-6"/>
          <w:lang w:val="en-US"/>
        </w:rPr>
        <w:t>探索小学</w:t>
      </w:r>
      <w:r>
        <w:rPr>
          <w:rFonts w:hint="eastAsia" w:ascii="Times New Roman" w:hAnsi="Times New Roman" w:cs="Times New Roman"/>
          <w:color w:val="auto"/>
          <w:spacing w:val="-6"/>
        </w:rPr>
        <w:t>每天开设一节体育课</w:t>
      </w:r>
      <w:r>
        <w:rPr>
          <w:rFonts w:hint="eastAsia" w:ascii="Times New Roman" w:hAnsi="Times New Roman" w:cs="Times New Roman"/>
          <w:color w:val="auto"/>
          <w:spacing w:val="-6"/>
          <w:lang w:val="en-US"/>
        </w:rPr>
        <w:t>有效路径</w:t>
      </w:r>
      <w:r>
        <w:rPr>
          <w:rFonts w:hint="eastAsia" w:ascii="Times New Roman" w:hAnsi="Times New Roman" w:cs="Times New Roman"/>
          <w:color w:val="auto"/>
          <w:spacing w:val="-6"/>
        </w:rPr>
        <w:t>，帮助学生增强体质、健全人格、锤炼意志。</w:t>
      </w:r>
      <w:r>
        <w:rPr>
          <w:rFonts w:hint="eastAsia" w:ascii="Times New Roman" w:hAnsi="Times New Roman" w:cs="Times New Roman"/>
          <w:color w:val="auto"/>
          <w:spacing w:val="-6"/>
          <w:lang w:val="en-US"/>
        </w:rPr>
        <w:t>创新</w:t>
      </w:r>
      <w:r>
        <w:rPr>
          <w:rFonts w:hint="eastAsia" w:ascii="Times New Roman" w:hAnsi="Times New Roman" w:cs="Times New Roman"/>
          <w:color w:val="auto"/>
          <w:spacing w:val="-6"/>
        </w:rPr>
        <w:t>大课间活动</w:t>
      </w:r>
      <w:r>
        <w:rPr>
          <w:rFonts w:hint="eastAsia" w:ascii="Times New Roman" w:hAnsi="Times New Roman" w:cs="Times New Roman"/>
          <w:color w:val="auto"/>
          <w:spacing w:val="-6"/>
          <w:lang w:val="en-US"/>
        </w:rPr>
        <w:t>形式，让大课间“阳光”起来，形成“处处可动、人人喜欢”的良好局面。</w:t>
      </w:r>
    </w:p>
    <w:p>
      <w:pPr>
        <w:pStyle w:val="7"/>
        <w:spacing w:line="580" w:lineRule="exact"/>
        <w:ind w:firstLine="643" w:firstLineChars="200"/>
        <w:jc w:val="both"/>
        <w:rPr>
          <w:rFonts w:ascii="Times New Roman" w:hAnsi="Times New Roman" w:cs="Times New Roman"/>
          <w:color w:val="auto"/>
          <w:spacing w:val="-6"/>
          <w:lang w:val="en-US"/>
        </w:rPr>
      </w:pPr>
      <w:r>
        <w:rPr>
          <w:rFonts w:ascii="Times New Roman" w:hAnsi="Times New Roman" w:eastAsia="楷体" w:cs="Times New Roman"/>
          <w:b/>
          <w:bCs/>
          <w:color w:val="auto"/>
        </w:rPr>
        <w:t>9.</w:t>
      </w:r>
      <w:r>
        <w:rPr>
          <w:rFonts w:hint="eastAsia" w:ascii="Times New Roman" w:hAnsi="Times New Roman" w:eastAsia="楷体" w:cs="Times New Roman"/>
          <w:b/>
          <w:bCs/>
          <w:color w:val="auto"/>
          <w:lang w:val="en-US"/>
        </w:rPr>
        <w:t>阳光心育成长行动</w:t>
      </w:r>
      <w:r>
        <w:rPr>
          <w:rFonts w:ascii="Times New Roman" w:hAnsi="Times New Roman" w:eastAsia="楷体" w:cs="Times New Roman"/>
          <w:b/>
          <w:bCs/>
          <w:color w:val="auto"/>
        </w:rPr>
        <w:t>。</w:t>
      </w:r>
      <w:r>
        <w:rPr>
          <w:rFonts w:hint="eastAsia" w:ascii="Times New Roman" w:hAnsi="Times New Roman" w:cs="Times New Roman"/>
          <w:color w:val="auto"/>
          <w:lang w:val="en-US"/>
        </w:rPr>
        <w:t>以阳光成长为目标</w:t>
      </w:r>
      <w:r>
        <w:rPr>
          <w:rFonts w:hint="eastAsia" w:ascii="Times New Roman" w:hAnsi="Times New Roman" w:cs="Times New Roman"/>
          <w:color w:val="auto"/>
        </w:rPr>
        <w:t>，高质量构建心理健康教育新样态，</w:t>
      </w:r>
      <w:r>
        <w:rPr>
          <w:rFonts w:hint="eastAsia" w:ascii="Times New Roman" w:hAnsi="Times New Roman" w:cs="Times New Roman"/>
          <w:color w:val="auto"/>
          <w:lang w:val="en-US"/>
        </w:rPr>
        <w:t>培养“活泼泼”的瑶海少年</w:t>
      </w:r>
      <w:r>
        <w:rPr>
          <w:rFonts w:hint="eastAsia" w:ascii="Times New Roman" w:hAnsi="Times New Roman" w:cs="Times New Roman"/>
          <w:color w:val="auto"/>
        </w:rPr>
        <w:t>。</w:t>
      </w:r>
      <w:r>
        <w:rPr>
          <w:rFonts w:hint="eastAsia" w:ascii="Times New Roman" w:hAnsi="Times New Roman" w:cs="Times New Roman"/>
          <w:color w:val="auto"/>
          <w:lang w:val="en-US"/>
        </w:rPr>
        <w:t>优化校园心理健康教育体系，配足配齐专职心理健康教师，开足开齐心理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健康</w:t>
      </w:r>
      <w:r>
        <w:rPr>
          <w:rFonts w:hint="eastAsia" w:ascii="Times New Roman" w:hAnsi="Times New Roman" w:cs="Times New Roman"/>
          <w:color w:val="auto"/>
          <w:lang w:val="en-US"/>
        </w:rPr>
        <w:t>课程，全覆盖落实学生心理健康筛查，规范特殊学生“一生一策”心理健康档案。探索心理健康家校社医协同模式，畅通学生心理危机转介绿色通道。进一步巩固“双减”成果，</w:t>
      </w:r>
      <w:r>
        <w:rPr>
          <w:rFonts w:hint="eastAsia" w:ascii="Times New Roman" w:hAnsi="Times New Roman" w:cs="Times New Roman"/>
          <w:color w:val="auto"/>
        </w:rPr>
        <w:t>引导规范校外培训行业健康有序发展，切实把中小学生过重负担减下来。充分发挥“全国家校社共育</w:t>
      </w:r>
      <w:r>
        <w:rPr>
          <w:rFonts w:hint="eastAsia" w:ascii="Times New Roman" w:hAnsi="Times New Roman" w:cs="Times New Roman"/>
          <w:color w:val="auto"/>
          <w:lang w:val="en-US"/>
        </w:rPr>
        <w:t>实践</w:t>
      </w:r>
      <w:r>
        <w:rPr>
          <w:rFonts w:hint="eastAsia" w:ascii="Times New Roman" w:hAnsi="Times New Roman" w:cs="Times New Roman"/>
          <w:color w:val="auto"/>
        </w:rPr>
        <w:t>区”平台作用，组建首批瑶海区“好家长成长报告团”，与社区合作推动家校社良性互动，提升“同心共育”品牌美誉度。</w:t>
      </w:r>
    </w:p>
    <w:p>
      <w:pPr>
        <w:pStyle w:val="7"/>
        <w:spacing w:line="580" w:lineRule="exact"/>
        <w:ind w:right="267" w:firstLine="643" w:firstLineChars="200"/>
        <w:jc w:val="both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eastAsia="楷体" w:cs="Times New Roman"/>
          <w:b/>
          <w:bCs/>
          <w:color w:val="auto"/>
          <w:lang w:val="en-US"/>
        </w:rPr>
        <w:t>10.</w:t>
      </w:r>
      <w:r>
        <w:rPr>
          <w:rFonts w:ascii="Times New Roman" w:hAnsi="Times New Roman" w:eastAsia="楷体" w:cs="Times New Roman"/>
          <w:b/>
          <w:bCs/>
          <w:color w:val="auto"/>
        </w:rPr>
        <w:t>平安校园守护行动。</w:t>
      </w:r>
      <w:r>
        <w:rPr>
          <w:rFonts w:hint="eastAsia" w:ascii="Times New Roman" w:hAnsi="Times New Roman" w:cs="Times New Roman"/>
          <w:color w:val="auto"/>
        </w:rPr>
        <w:t>以“</w:t>
      </w:r>
      <w:r>
        <w:rPr>
          <w:rFonts w:hint="eastAsia" w:ascii="Times New Roman" w:hAnsi="Times New Roman" w:cs="Times New Roman"/>
          <w:color w:val="auto"/>
          <w:lang w:val="en-US"/>
        </w:rPr>
        <w:t>从事后处理向事前预防，从静态孤立监管向动态连续防控转变</w:t>
      </w:r>
      <w:r>
        <w:rPr>
          <w:rFonts w:hint="eastAsia" w:ascii="Times New Roman" w:hAnsi="Times New Roman" w:cs="Times New Roman"/>
          <w:color w:val="auto"/>
        </w:rPr>
        <w:t>”为理念，提高师生安全意识，保障学校安全稳定。</w:t>
      </w:r>
      <w:r>
        <w:rPr>
          <w:rFonts w:hint="eastAsia" w:ascii="Times New Roman" w:hAnsi="Times New Roman" w:cs="Times New Roman"/>
          <w:color w:val="auto"/>
          <w:lang w:val="en-US"/>
        </w:rPr>
        <w:t>创新安全教育方式，汇编《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瑶海区</w:t>
      </w:r>
      <w:r>
        <w:rPr>
          <w:rFonts w:hint="eastAsia" w:ascii="Times New Roman" w:hAnsi="Times New Roman" w:cs="Times New Roman"/>
          <w:color w:val="auto"/>
          <w:lang w:val="en-US"/>
        </w:rPr>
        <w:t>学校常用法律法规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选编</w:t>
      </w:r>
      <w:r>
        <w:rPr>
          <w:rFonts w:hint="eastAsia" w:ascii="Times New Roman" w:hAnsi="Times New Roman" w:cs="Times New Roman"/>
          <w:color w:val="auto"/>
          <w:lang w:val="en-US"/>
        </w:rPr>
        <w:t>》</w:t>
      </w:r>
      <w:r>
        <w:rPr>
          <w:rFonts w:hint="eastAsia" w:ascii="Times New Roman" w:hAnsi="Times New Roman" w:cs="Times New Roman"/>
          <w:color w:val="auto"/>
        </w:rPr>
        <w:t>，建立校园典型案例库，</w:t>
      </w:r>
      <w:r>
        <w:rPr>
          <w:rFonts w:hint="eastAsia" w:ascii="Times New Roman" w:hAnsi="Times New Roman" w:cs="Times New Roman"/>
          <w:color w:val="auto"/>
          <w:lang w:val="en-US"/>
        </w:rPr>
        <w:t>深入开展一月一主题安全教育进课堂、进课程。强化协同护航，研究用好</w:t>
      </w:r>
      <w:r>
        <w:rPr>
          <w:rFonts w:hint="eastAsia" w:ascii="Times New Roman" w:hAnsi="Times New Roman" w:cs="Times New Roman"/>
          <w:color w:val="auto"/>
        </w:rPr>
        <w:t>《瑶海区校园安全指导手册》和《瑶海区校园安全隐患排查整改台账》</w:t>
      </w:r>
      <w:r>
        <w:rPr>
          <w:rFonts w:hint="eastAsia" w:ascii="Times New Roman" w:hAnsi="Times New Roman" w:cs="Times New Roman"/>
          <w:color w:val="auto"/>
          <w:lang w:val="en-US"/>
        </w:rPr>
        <w:t>，落实四方联勤</w:t>
      </w:r>
      <w:r>
        <w:rPr>
          <w:rFonts w:hint="eastAsia" w:hAnsi="Times New Roman" w:cs="Times New Roman"/>
          <w:color w:val="auto"/>
          <w:vertAlign w:val="superscript"/>
          <w:lang w:val="en-US" w:bidi="ar-SA"/>
        </w:rPr>
        <w:t>〔</w:t>
      </w:r>
      <w:r>
        <w:rPr>
          <w:rFonts w:hAnsi="Times New Roman" w:cs="Times New Roman"/>
          <w:color w:val="auto"/>
          <w:vertAlign w:val="superscript"/>
          <w:lang w:val="en-US" w:bidi="ar-SA"/>
        </w:rPr>
        <w:t>6</w:t>
      </w:r>
      <w:r>
        <w:rPr>
          <w:rFonts w:hint="eastAsia" w:hAnsi="Times New Roman" w:cs="Times New Roman"/>
          <w:color w:val="auto"/>
          <w:vertAlign w:val="superscript"/>
          <w:lang w:val="en-US" w:bidi="ar-SA"/>
        </w:rPr>
        <w:t>〕</w:t>
      </w:r>
      <w:r>
        <w:rPr>
          <w:rFonts w:hint="eastAsia" w:ascii="Times New Roman" w:hAnsi="Times New Roman" w:cs="Times New Roman"/>
          <w:color w:val="auto"/>
          <w:lang w:val="en-US"/>
        </w:rPr>
        <w:t>护学责任，完善应急处置机制，筑牢安全屏障。突出以创建促平安，开展健康学校等各类示范校创建活动</w:t>
      </w:r>
      <w:r>
        <w:rPr>
          <w:rFonts w:hint="eastAsia" w:ascii="Times New Roman" w:hAnsi="Times New Roman" w:cs="Times New Roman"/>
          <w:color w:val="auto"/>
        </w:rPr>
        <w:t>，</w:t>
      </w:r>
      <w:r>
        <w:rPr>
          <w:rFonts w:hint="eastAsia" w:ascii="Times New Roman" w:hAnsi="Times New Roman" w:cs="Times New Roman"/>
          <w:color w:val="auto"/>
          <w:lang w:val="en-US"/>
        </w:rPr>
        <w:t>做到校园安全管理法治化、科学化和标准化。</w:t>
      </w:r>
    </w:p>
    <w:p>
      <w:pPr>
        <w:pStyle w:val="7"/>
        <w:spacing w:line="580" w:lineRule="exact"/>
        <w:ind w:firstLine="640" w:firstLineChars="200"/>
        <w:jc w:val="both"/>
        <w:rPr>
          <w:rFonts w:ascii="方正公文黑体" w:hAnsi="方正公文黑体" w:eastAsia="方正公文黑体" w:cs="方正公文黑体"/>
          <w:color w:val="auto"/>
        </w:rPr>
      </w:pPr>
      <w:r>
        <w:rPr>
          <w:rFonts w:hint="eastAsia" w:ascii="方正公文黑体" w:hAnsi="方正公文黑体" w:eastAsia="方正公文黑体" w:cs="方正公文黑体"/>
          <w:color w:val="auto"/>
          <w:lang w:val="en-US"/>
        </w:rPr>
        <w:t>三</w:t>
      </w:r>
      <w:r>
        <w:rPr>
          <w:rFonts w:hint="eastAsia" w:ascii="方正公文黑体" w:hAnsi="方正公文黑体" w:eastAsia="方正公文黑体" w:cs="方正公文黑体"/>
          <w:color w:val="auto"/>
        </w:rPr>
        <w:t>、保障措施</w:t>
      </w:r>
    </w:p>
    <w:p>
      <w:pPr>
        <w:spacing w:line="560" w:lineRule="exact"/>
        <w:ind w:firstLine="643" w:firstLineChars="200"/>
        <w:jc w:val="both"/>
        <w:rPr>
          <w:rFonts w:ascii="Times New Roman" w:hAnsi="Times New Roman" w:cs="Times New Roman"/>
          <w:color w:val="auto"/>
          <w:sz w:val="32"/>
          <w:szCs w:val="32"/>
          <w:lang w:val="en-US"/>
        </w:rPr>
      </w:pP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  <w:t>1.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lang w:val="en-US"/>
        </w:rPr>
        <w:t>突出协同联动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  <w:t>。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/>
        </w:rPr>
        <w:t>坚持双月调度，机关、学校要加强沟通配合，</w:t>
      </w:r>
      <w:r>
        <w:rPr>
          <w:rFonts w:ascii="Times New Roman" w:hAnsi="Times New Roman" w:cs="Times New Roman"/>
          <w:color w:val="auto"/>
          <w:sz w:val="32"/>
          <w:szCs w:val="32"/>
        </w:rPr>
        <w:t>明确职能职责</w:t>
      </w:r>
      <w:r>
        <w:rPr>
          <w:rFonts w:hint="eastAsia" w:ascii="Times New Roman" w:hAnsi="Times New Roman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/>
        </w:rPr>
        <w:t>统一思想认识，加大合作力度。通过信息共享、工作共推、成果共用，切实提高协同联动工作成效，实现行动落实的闭环管理。</w:t>
      </w:r>
    </w:p>
    <w:p>
      <w:pPr>
        <w:spacing w:line="560" w:lineRule="exact"/>
        <w:ind w:firstLine="643" w:firstLineChars="200"/>
        <w:jc w:val="both"/>
        <w:rPr>
          <w:rFonts w:ascii="Times New Roman" w:hAnsi="Times New Roman" w:cs="Times New Roman"/>
          <w:color w:val="auto"/>
          <w:sz w:val="32"/>
          <w:szCs w:val="32"/>
          <w:lang w:val="en-US"/>
        </w:rPr>
      </w:pP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lang w:val="en-US"/>
        </w:rPr>
        <w:t>2.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lang w:val="en-US"/>
        </w:rPr>
        <w:t>强化评估问效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  <w:t>。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/>
        </w:rPr>
        <w:t>建立问题清单、整改清单和经验清单，力求“事事有着落，件件有回音”。着力在结果运用上精准施策，系统化推进十大行动落地生根、开花结果。</w:t>
      </w:r>
    </w:p>
    <w:p>
      <w:pPr>
        <w:spacing w:line="560" w:lineRule="exact"/>
        <w:ind w:firstLine="643" w:firstLineChars="200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  <w:t>3.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lang w:val="en-US"/>
        </w:rPr>
        <w:t>鼓励探索创新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  <w:t>。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/>
        </w:rPr>
        <w:t>鼓励</w:t>
      </w:r>
      <w:r>
        <w:rPr>
          <w:rFonts w:hint="eastAsia" w:ascii="Times New Roman" w:hAnsi="Times New Roman" w:cs="Times New Roman"/>
          <w:color w:val="auto"/>
          <w:sz w:val="32"/>
          <w:szCs w:val="32"/>
        </w:rPr>
        <w:t>因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/>
        </w:rPr>
        <w:t>校</w:t>
      </w:r>
      <w:r>
        <w:rPr>
          <w:rFonts w:hint="eastAsia" w:ascii="Times New Roman" w:hAnsi="Times New Roman" w:cs="Times New Roman"/>
          <w:color w:val="auto"/>
          <w:sz w:val="32"/>
          <w:szCs w:val="32"/>
        </w:rPr>
        <w:t>制宜开展多层级、多形式的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/>
        </w:rPr>
        <w:t>项目研究</w:t>
      </w:r>
      <w:r>
        <w:rPr>
          <w:rFonts w:hint="eastAsia" w:ascii="Times New Roman" w:hAnsi="Times New Roman" w:cs="Times New Roman"/>
          <w:color w:val="auto"/>
          <w:sz w:val="32"/>
          <w:szCs w:val="32"/>
        </w:rPr>
        <w:t>，突破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/>
        </w:rPr>
        <w:t>常规</w:t>
      </w:r>
      <w:r>
        <w:rPr>
          <w:rFonts w:hint="eastAsia" w:ascii="Times New Roman" w:hAnsi="Times New Roman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/>
        </w:rPr>
        <w:t>打造典型案例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</w:rPr>
        <w:t>，</w:t>
      </w:r>
      <w:r>
        <w:rPr>
          <w:rFonts w:hint="eastAsia" w:ascii="Times New Roman" w:hAnsi="Times New Roman" w:cs="Times New Roman"/>
          <w:color w:val="auto"/>
          <w:sz w:val="32"/>
          <w:szCs w:val="32"/>
        </w:rPr>
        <w:t>营造鼓励创新的良好氛围。</w:t>
      </w:r>
      <w:r>
        <w:rPr>
          <w:rFonts w:ascii="Times New Roman" w:hAnsi="Times New Roman" w:cs="Times New Roman"/>
          <w:color w:val="auto"/>
          <w:sz w:val="32"/>
          <w:szCs w:val="32"/>
        </w:rPr>
        <w:t>坚持“线上+线下”多维度、全方位、广覆盖宣传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/>
        </w:rPr>
        <w:t>特色，创新</w:t>
      </w:r>
      <w:r>
        <w:rPr>
          <w:rFonts w:ascii="Times New Roman" w:hAnsi="Times New Roman" w:cs="Times New Roman"/>
          <w:color w:val="auto"/>
          <w:sz w:val="32"/>
          <w:szCs w:val="32"/>
        </w:rPr>
        <w:t>工作成效。</w:t>
      </w:r>
    </w:p>
    <w:p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公文黑体" w:eastAsia="方正小标宋简体" w:cs="方正公文黑体"/>
          <w:bCs/>
          <w:color w:val="auto"/>
          <w:sz w:val="36"/>
          <w:szCs w:val="36"/>
          <w:lang w:val="en-US"/>
        </w:rPr>
      </w:pPr>
      <w:r>
        <w:rPr>
          <w:rFonts w:hint="eastAsia" w:ascii="方正小标宋简体" w:hAnsi="方正公文黑体" w:eastAsia="方正小标宋简体" w:cs="方正公文黑体"/>
          <w:bCs/>
          <w:color w:val="auto"/>
          <w:sz w:val="36"/>
          <w:szCs w:val="36"/>
          <w:lang w:val="en-US"/>
        </w:rPr>
        <w:t>名词解释</w:t>
      </w:r>
    </w:p>
    <w:p>
      <w:pPr>
        <w:pStyle w:val="2"/>
        <w:ind w:left="440"/>
        <w:rPr>
          <w:rFonts w:hint="eastAsia"/>
          <w:color w:val="auto"/>
          <w:lang w:val="en-US"/>
        </w:rPr>
      </w:pPr>
    </w:p>
    <w:p>
      <w:pPr>
        <w:spacing w:line="560" w:lineRule="exact"/>
        <w:ind w:firstLine="643" w:firstLineChars="200"/>
        <w:jc w:val="both"/>
        <w:rPr>
          <w:rFonts w:ascii="楷体" w:hAnsi="楷体" w:eastAsia="楷体" w:cs="楷体"/>
          <w:bCs/>
          <w:color w:val="auto"/>
          <w:sz w:val="32"/>
          <w:szCs w:val="32"/>
          <w:lang w:val="en-US"/>
        </w:rPr>
      </w:pPr>
      <w:r>
        <w:rPr>
          <w:rFonts w:hint="eastAsia" w:ascii="楷体" w:hAnsi="楷体" w:eastAsia="楷体" w:cs="楷体"/>
          <w:b/>
          <w:color w:val="auto"/>
          <w:sz w:val="32"/>
          <w:szCs w:val="32"/>
          <w:lang w:val="en-US"/>
        </w:rPr>
        <w:t>1</w:t>
      </w:r>
      <w:r>
        <w:rPr>
          <w:rFonts w:ascii="楷体" w:hAnsi="楷体" w:eastAsia="楷体" w:cs="楷体"/>
          <w:b/>
          <w:color w:val="auto"/>
          <w:sz w:val="32"/>
          <w:szCs w:val="32"/>
          <w:lang w:val="en-US"/>
        </w:rPr>
        <w:t>.</w:t>
      </w:r>
      <w:r>
        <w:rPr>
          <w:rFonts w:hint="eastAsia" w:ascii="楷体" w:hAnsi="楷体" w:eastAsia="楷体" w:cs="楷体"/>
          <w:b/>
          <w:color w:val="auto"/>
          <w:sz w:val="32"/>
          <w:szCs w:val="32"/>
          <w:lang w:val="en-US"/>
        </w:rPr>
        <w:t>“11310”发展体系：</w:t>
      </w:r>
      <w:r>
        <w:rPr>
          <w:rFonts w:hint="eastAsia"/>
          <w:color w:val="auto"/>
          <w:sz w:val="32"/>
          <w:szCs w:val="32"/>
          <w:lang w:val="en-US"/>
        </w:rPr>
        <w:t>第一个“1”是确立一个发展目标，即打造“学在瑶海 活力教育”品牌；第二个“1”是坚守一条发展</w:t>
      </w:r>
      <w:r>
        <w:rPr>
          <w:rFonts w:hint="eastAsia"/>
          <w:color w:val="auto"/>
          <w:sz w:val="32"/>
          <w:szCs w:val="32"/>
          <w:lang w:val="en-US" w:eastAsia="zh-CN"/>
        </w:rPr>
        <w:t>主线</w:t>
      </w:r>
      <w:r>
        <w:rPr>
          <w:rFonts w:hint="eastAsia"/>
          <w:color w:val="auto"/>
          <w:sz w:val="32"/>
          <w:szCs w:val="32"/>
          <w:lang w:val="en-US"/>
        </w:rPr>
        <w:t>，即“以高质量党建引领教育高质量发展”；“3”是指以“系统观念、项目为王、效果导向”三大理念为指导；“10”是指实施“红烛党建引领”“数字教育赋能”等十大行动。</w:t>
      </w:r>
    </w:p>
    <w:p>
      <w:pPr>
        <w:spacing w:line="560" w:lineRule="exact"/>
        <w:ind w:firstLine="643" w:firstLineChars="200"/>
        <w:jc w:val="both"/>
        <w:rPr>
          <w:color w:val="auto"/>
          <w:sz w:val="32"/>
          <w:szCs w:val="32"/>
          <w:lang w:val="en-US"/>
        </w:rPr>
      </w:pPr>
      <w:r>
        <w:rPr>
          <w:rFonts w:hint="eastAsia" w:ascii="楷体" w:hAnsi="楷体" w:eastAsia="楷体" w:cs="楷体"/>
          <w:b/>
          <w:color w:val="auto"/>
          <w:sz w:val="32"/>
          <w:szCs w:val="32"/>
          <w:lang w:val="en-US"/>
        </w:rPr>
        <w:t>2</w:t>
      </w:r>
      <w:r>
        <w:rPr>
          <w:rFonts w:ascii="楷体" w:hAnsi="楷体" w:eastAsia="楷体" w:cs="楷体"/>
          <w:b/>
          <w:color w:val="auto"/>
          <w:sz w:val="32"/>
          <w:szCs w:val="32"/>
          <w:lang w:val="en-US"/>
        </w:rPr>
        <w:t>.</w:t>
      </w:r>
      <w:r>
        <w:rPr>
          <w:rFonts w:hint="eastAsia" w:ascii="楷体" w:hAnsi="楷体" w:eastAsia="楷体" w:cs="楷体"/>
          <w:b/>
          <w:color w:val="auto"/>
          <w:sz w:val="32"/>
          <w:szCs w:val="32"/>
          <w:lang w:val="en-US"/>
        </w:rPr>
        <w:t>“双导师制”:</w:t>
      </w:r>
      <w:r>
        <w:rPr>
          <w:rFonts w:hint="eastAsia"/>
          <w:color w:val="auto"/>
          <w:sz w:val="32"/>
          <w:szCs w:val="32"/>
          <w:lang w:val="en-US"/>
        </w:rPr>
        <w:t>指由数字赋能导师和学科</w:t>
      </w:r>
      <w:r>
        <w:rPr>
          <w:rFonts w:hint="eastAsia"/>
          <w:color w:val="auto"/>
          <w:sz w:val="32"/>
          <w:szCs w:val="32"/>
          <w:lang w:val="en-US" w:eastAsia="zh-CN"/>
        </w:rPr>
        <w:t>专业</w:t>
      </w:r>
      <w:r>
        <w:rPr>
          <w:rFonts w:hint="eastAsia"/>
          <w:color w:val="auto"/>
          <w:sz w:val="32"/>
          <w:szCs w:val="32"/>
          <w:lang w:val="en-US"/>
        </w:rPr>
        <w:t>导师共同对骨干教师培养对象进行指导，</w:t>
      </w:r>
      <w:r>
        <w:rPr>
          <w:rFonts w:hint="eastAsia"/>
          <w:color w:val="auto"/>
          <w:sz w:val="32"/>
          <w:szCs w:val="32"/>
          <w:lang w:val="en-US" w:eastAsia="zh-CN"/>
        </w:rPr>
        <w:t>培养能胜任未来教育，数字素养和专业素养突出的卓越教师</w:t>
      </w:r>
      <w:r>
        <w:rPr>
          <w:rFonts w:hint="eastAsia"/>
          <w:color w:val="auto"/>
          <w:sz w:val="32"/>
          <w:szCs w:val="32"/>
          <w:lang w:val="en-US"/>
        </w:rPr>
        <w:t>。</w:t>
      </w:r>
    </w:p>
    <w:p>
      <w:pPr>
        <w:pStyle w:val="2"/>
        <w:spacing w:after="0" w:line="560" w:lineRule="exact"/>
        <w:ind w:left="0" w:leftChars="0" w:firstLine="643" w:firstLineChars="200"/>
        <w:jc w:val="both"/>
        <w:rPr>
          <w:rFonts w:ascii="Times New Roman" w:hAnsi="Times New Roman" w:cs="Times New Roman" w:eastAsiaTheme="minorEastAsia"/>
          <w:color w:val="auto"/>
        </w:rPr>
      </w:pPr>
      <w:r>
        <w:rPr>
          <w:rFonts w:hint="eastAsia" w:ascii="楷体" w:hAnsi="楷体" w:eastAsia="楷体" w:cs="楷体"/>
          <w:b/>
          <w:color w:val="auto"/>
          <w:sz w:val="32"/>
          <w:szCs w:val="32"/>
          <w:lang w:val="en-US"/>
        </w:rPr>
        <w:t>3</w:t>
      </w:r>
      <w:r>
        <w:rPr>
          <w:rFonts w:ascii="楷体" w:hAnsi="楷体" w:eastAsia="楷体" w:cs="楷体"/>
          <w:b/>
          <w:color w:val="auto"/>
          <w:sz w:val="32"/>
          <w:szCs w:val="32"/>
          <w:lang w:val="en-US"/>
        </w:rPr>
        <w:t>.</w:t>
      </w:r>
      <w:r>
        <w:rPr>
          <w:rFonts w:hint="eastAsia" w:ascii="楷体" w:hAnsi="楷体" w:eastAsia="楷体" w:cs="楷体"/>
          <w:b/>
          <w:color w:val="auto"/>
          <w:sz w:val="32"/>
          <w:szCs w:val="32"/>
          <w:lang w:val="en-US"/>
        </w:rPr>
        <w:t>“四读四学”：</w:t>
      </w:r>
      <w:r>
        <w:rPr>
          <w:rFonts w:hint="eastAsia"/>
          <w:color w:val="auto"/>
          <w:sz w:val="32"/>
          <w:szCs w:val="32"/>
          <w:lang w:val="en-US"/>
        </w:rPr>
        <w:t>“四读”是指读出</w:t>
      </w:r>
      <w:r>
        <w:rPr>
          <w:rFonts w:hint="eastAsia"/>
          <w:color w:val="auto"/>
          <w:sz w:val="32"/>
          <w:szCs w:val="32"/>
          <w:lang w:val="en-US" w:eastAsia="zh-CN"/>
        </w:rPr>
        <w:t>信念</w:t>
      </w:r>
      <w:r>
        <w:rPr>
          <w:rFonts w:hint="eastAsia"/>
          <w:color w:val="auto"/>
          <w:sz w:val="32"/>
          <w:szCs w:val="32"/>
          <w:lang w:val="en-US"/>
        </w:rPr>
        <w:t>，读出智慧，读出</w:t>
      </w:r>
      <w:r>
        <w:rPr>
          <w:rFonts w:hint="eastAsia"/>
          <w:color w:val="auto"/>
          <w:sz w:val="32"/>
          <w:szCs w:val="32"/>
          <w:lang w:val="en-US" w:eastAsia="zh-CN"/>
        </w:rPr>
        <w:t>品格</w:t>
      </w:r>
      <w:r>
        <w:rPr>
          <w:rFonts w:hint="eastAsia"/>
          <w:color w:val="auto"/>
          <w:sz w:val="32"/>
          <w:szCs w:val="32"/>
          <w:lang w:val="en-US"/>
        </w:rPr>
        <w:t>，读出</w:t>
      </w:r>
      <w:r>
        <w:rPr>
          <w:rFonts w:hint="eastAsia"/>
          <w:color w:val="auto"/>
          <w:sz w:val="32"/>
          <w:szCs w:val="32"/>
          <w:lang w:val="en-US" w:eastAsia="zh-CN"/>
        </w:rPr>
        <w:t>干劲</w:t>
      </w:r>
      <w:r>
        <w:rPr>
          <w:rFonts w:hint="eastAsia"/>
          <w:color w:val="auto"/>
          <w:sz w:val="32"/>
          <w:szCs w:val="32"/>
          <w:lang w:val="en-US"/>
        </w:rPr>
        <w:t>；“四学”是指向书本学，向身边人、身边事学，向兄弟学校学，向先发地区学。</w:t>
      </w:r>
    </w:p>
    <w:p>
      <w:pPr>
        <w:spacing w:line="560" w:lineRule="exact"/>
        <w:ind w:firstLine="643" w:firstLineChars="200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color w:val="auto"/>
          <w:sz w:val="32"/>
          <w:szCs w:val="32"/>
          <w:lang w:val="en-US"/>
        </w:rPr>
        <w:t>4</w:t>
      </w:r>
      <w:r>
        <w:rPr>
          <w:rFonts w:ascii="楷体" w:hAnsi="楷体" w:eastAsia="楷体" w:cs="楷体"/>
          <w:b/>
          <w:color w:val="auto"/>
          <w:sz w:val="32"/>
          <w:szCs w:val="32"/>
          <w:lang w:val="en-US"/>
        </w:rPr>
        <w:t>.</w:t>
      </w:r>
      <w:r>
        <w:rPr>
          <w:rFonts w:hint="eastAsia" w:ascii="楷体" w:hAnsi="楷体" w:eastAsia="楷体" w:cs="楷体"/>
          <w:b/>
          <w:color w:val="auto"/>
          <w:sz w:val="32"/>
          <w:szCs w:val="32"/>
          <w:lang w:val="en-US"/>
        </w:rPr>
        <w:t>“三全育人”：</w:t>
      </w:r>
      <w:r>
        <w:rPr>
          <w:rFonts w:hint="eastAsia"/>
          <w:color w:val="auto"/>
          <w:sz w:val="32"/>
          <w:szCs w:val="32"/>
          <w:lang w:val="en-US"/>
        </w:rPr>
        <w:t>指全员育人、全程育人、全方位育人</w:t>
      </w:r>
      <w:r>
        <w:rPr>
          <w:rFonts w:hint="eastAsia"/>
          <w:color w:val="auto"/>
          <w:sz w:val="32"/>
          <w:szCs w:val="32"/>
          <w:lang w:val="en-US" w:eastAsia="zh-CN"/>
        </w:rPr>
        <w:t>，达到人人、时时、处处的育人效果</w:t>
      </w:r>
      <w:r>
        <w:rPr>
          <w:rFonts w:hint="eastAsia"/>
          <w:color w:val="auto"/>
          <w:sz w:val="32"/>
          <w:szCs w:val="32"/>
          <w:lang w:val="en-US"/>
        </w:rPr>
        <w:t>。</w:t>
      </w:r>
    </w:p>
    <w:p>
      <w:pPr>
        <w:spacing w:line="560" w:lineRule="exact"/>
        <w:ind w:firstLine="643" w:firstLineChars="200"/>
        <w:jc w:val="both"/>
        <w:rPr>
          <w:color w:val="auto"/>
          <w:sz w:val="32"/>
          <w:szCs w:val="32"/>
          <w:lang w:val="en-US"/>
        </w:rPr>
      </w:pPr>
      <w:r>
        <w:rPr>
          <w:rFonts w:hint="eastAsia" w:ascii="楷体" w:hAnsi="楷体" w:eastAsia="楷体" w:cs="楷体"/>
          <w:b/>
          <w:color w:val="auto"/>
          <w:sz w:val="32"/>
          <w:szCs w:val="32"/>
          <w:lang w:val="en-US"/>
        </w:rPr>
        <w:t>5</w:t>
      </w:r>
      <w:r>
        <w:rPr>
          <w:rFonts w:ascii="楷体" w:hAnsi="楷体" w:eastAsia="楷体" w:cs="楷体"/>
          <w:b/>
          <w:color w:val="auto"/>
          <w:sz w:val="32"/>
          <w:szCs w:val="32"/>
          <w:lang w:val="en-US"/>
        </w:rPr>
        <w:t>.</w:t>
      </w:r>
      <w:r>
        <w:rPr>
          <w:rFonts w:hint="eastAsia" w:ascii="楷体" w:hAnsi="楷体" w:eastAsia="楷体" w:cs="楷体"/>
          <w:b/>
          <w:color w:val="auto"/>
          <w:sz w:val="32"/>
          <w:szCs w:val="32"/>
          <w:lang w:val="en-US"/>
        </w:rPr>
        <w:t>“五美学生”：</w:t>
      </w:r>
      <w:r>
        <w:rPr>
          <w:rFonts w:hint="eastAsia"/>
          <w:color w:val="auto"/>
          <w:sz w:val="32"/>
          <w:szCs w:val="32"/>
          <w:lang w:val="en-US"/>
        </w:rPr>
        <w:t>指“美德、美智、美健、美艺、美劳”瑶海</w:t>
      </w:r>
      <w:r>
        <w:rPr>
          <w:rFonts w:hint="eastAsia"/>
          <w:color w:val="auto"/>
          <w:sz w:val="32"/>
          <w:szCs w:val="32"/>
          <w:lang w:val="en-US" w:eastAsia="zh-CN"/>
        </w:rPr>
        <w:t>少年</w:t>
      </w:r>
      <w:r>
        <w:rPr>
          <w:rFonts w:hint="eastAsia"/>
          <w:color w:val="auto"/>
          <w:sz w:val="32"/>
          <w:szCs w:val="32"/>
          <w:lang w:val="en-US"/>
        </w:rPr>
        <w:t>。</w:t>
      </w:r>
    </w:p>
    <w:p>
      <w:pPr>
        <w:spacing w:line="560" w:lineRule="exact"/>
        <w:ind w:firstLine="643" w:firstLineChars="200"/>
        <w:jc w:val="both"/>
        <w:rPr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6</w:t>
      </w:r>
      <w:r>
        <w:rPr>
          <w:rFonts w:ascii="仿宋" w:hAnsi="仿宋" w:eastAsia="仿宋" w:cs="仿宋"/>
          <w:b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“</w:t>
      </w:r>
      <w:r>
        <w:rPr>
          <w:rFonts w:hint="eastAsia" w:ascii="楷体" w:hAnsi="楷体" w:eastAsia="楷体" w:cs="楷体"/>
          <w:b/>
          <w:color w:val="auto"/>
          <w:sz w:val="32"/>
          <w:szCs w:val="32"/>
          <w:lang w:val="en-US"/>
        </w:rPr>
        <w:t>四方联勤”：</w:t>
      </w:r>
      <w:r>
        <w:rPr>
          <w:rFonts w:hint="eastAsia"/>
          <w:color w:val="auto"/>
          <w:sz w:val="32"/>
          <w:szCs w:val="32"/>
          <w:lang w:val="en-US"/>
        </w:rPr>
        <w:t>民警、保安、教职工、家长志愿者共同开展护学工作。</w:t>
      </w:r>
    </w:p>
    <w:p>
      <w:pPr>
        <w:spacing w:line="560" w:lineRule="exact"/>
        <w:ind w:firstLine="643" w:firstLineChars="200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Times New Roman" w:hAnsi="Times New Roman" w:cs="Times New Roman"/>
          <w:color w:val="auto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附件：</w:t>
      </w:r>
      <w:r>
        <w:rPr>
          <w:rFonts w:ascii="Times New Roman" w:hAnsi="Times New Roman" w:cs="Times New Roman"/>
          <w:color w:val="auto"/>
          <w:sz w:val="32"/>
          <w:szCs w:val="32"/>
        </w:rPr>
        <w:t>深入开展“学在瑶海 活力教育”十大行动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/>
        </w:rPr>
        <w:t>3</w:t>
      </w:r>
      <w:r>
        <w:rPr>
          <w:rFonts w:ascii="Times New Roman" w:hAnsi="Times New Roman" w:cs="Times New Roman"/>
          <w:color w:val="auto"/>
          <w:sz w:val="32"/>
          <w:szCs w:val="32"/>
          <w:lang w:val="en-US"/>
        </w:rPr>
        <w:t>.0版</w:t>
      </w:r>
    </w:p>
    <w:p>
      <w:pPr>
        <w:spacing w:line="560" w:lineRule="exact"/>
        <w:ind w:firstLine="1600" w:firstLineChars="500"/>
        <w:rPr>
          <w:rFonts w:hint="eastAsia" w:ascii="Times New Roman" w:hAnsi="Times New Roman" w:cs="Times New Roman"/>
          <w:color w:val="auto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en-US"/>
        </w:rPr>
        <w:t>重点项目汇总表</w:t>
      </w:r>
    </w:p>
    <w:p>
      <w:pPr>
        <w:spacing w:line="560" w:lineRule="exact"/>
        <w:rPr>
          <w:rFonts w:ascii="Times New Roman" w:hAnsi="Times New Roman" w:cs="Times New Roman"/>
          <w:color w:val="auto"/>
          <w:sz w:val="32"/>
          <w:szCs w:val="32"/>
        </w:rPr>
        <w:sectPr>
          <w:footerReference r:id="rId5" w:type="default"/>
          <w:footerReference r:id="rId6" w:type="even"/>
          <w:type w:val="continuous"/>
          <w:pgSz w:w="11910" w:h="16840"/>
          <w:pgMar w:top="2098" w:right="1474" w:bottom="1984" w:left="1587" w:header="0" w:footer="1184" w:gutter="0"/>
          <w:cols w:space="720" w:num="1"/>
        </w:sectPr>
      </w:pPr>
    </w:p>
    <w:p>
      <w:pPr>
        <w:rPr>
          <w:rFonts w:ascii="Times New Roman" w:hAnsi="Times New Roman" w:eastAsia="黑体" w:cs="Times New Roman"/>
          <w:color w:val="auto"/>
          <w:sz w:val="32"/>
          <w:szCs w:val="32"/>
          <w:lang w:val="en-US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</w:t>
      </w:r>
    </w:p>
    <w:p>
      <w:pPr>
        <w:spacing w:before="240" w:beforeLines="100" w:after="240" w:afterLines="10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深入开展“学在瑶海 活力教育”十大行动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/>
        </w:rPr>
        <w:t>3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lang w:val="en-US"/>
        </w:rPr>
        <w:t>.0版重点项目汇总表</w:t>
      </w:r>
    </w:p>
    <w:tbl>
      <w:tblPr>
        <w:tblStyle w:val="14"/>
        <w:tblW w:w="1431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870"/>
        <w:gridCol w:w="9712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191" w:type="dxa"/>
          </w:tcPr>
          <w:p>
            <w:pPr>
              <w:jc w:val="center"/>
              <w:rPr>
                <w:rFonts w:ascii="方正公文黑体" w:hAnsi="方正公文黑体" w:eastAsia="方正公文黑体" w:cs="方正公文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sz w:val="24"/>
                <w:szCs w:val="24"/>
                <w:lang w:val="en-US"/>
              </w:rPr>
              <w:t>行动名称</w:t>
            </w:r>
          </w:p>
        </w:tc>
        <w:tc>
          <w:tcPr>
            <w:tcW w:w="1870" w:type="dxa"/>
          </w:tcPr>
          <w:p>
            <w:pPr>
              <w:jc w:val="center"/>
              <w:rPr>
                <w:rFonts w:ascii="方正公文黑体" w:hAnsi="方正公文黑体" w:eastAsia="方正公文黑体" w:cs="方正公文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sz w:val="24"/>
                <w:szCs w:val="24"/>
                <w:lang w:val="en-US"/>
              </w:rPr>
              <w:t>重点项目名称</w:t>
            </w:r>
          </w:p>
        </w:tc>
        <w:tc>
          <w:tcPr>
            <w:tcW w:w="9712" w:type="dxa"/>
          </w:tcPr>
          <w:p>
            <w:pPr>
              <w:jc w:val="center"/>
              <w:rPr>
                <w:rFonts w:ascii="方正公文黑体" w:hAnsi="方正公文黑体" w:eastAsia="方正公文黑体" w:cs="方正公文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sz w:val="24"/>
                <w:szCs w:val="24"/>
                <w:lang w:val="en-US"/>
              </w:rPr>
              <w:t>工作指标</w:t>
            </w:r>
          </w:p>
        </w:tc>
        <w:tc>
          <w:tcPr>
            <w:tcW w:w="1544" w:type="dxa"/>
          </w:tcPr>
          <w:p>
            <w:pPr>
              <w:jc w:val="center"/>
              <w:rPr>
                <w:rFonts w:ascii="方正公文黑体" w:hAnsi="方正公文黑体" w:eastAsia="方正公文黑体" w:cs="方正公文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sz w:val="24"/>
                <w:szCs w:val="24"/>
                <w:lang w:val="en-US"/>
              </w:rPr>
              <w:t>责任对象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19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红烛党建引领行动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组织建设</w:t>
            </w:r>
          </w:p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提升项目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9712" w:type="dxa"/>
            <w:vAlign w:val="center"/>
          </w:tcPr>
          <w:p>
            <w:pPr>
              <w:widowControl/>
              <w:spacing w:line="280" w:lineRule="exact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1.实现全区中小学校党组织领导的校长负责制100%全覆盖，进一步完善运行机制；</w:t>
            </w:r>
          </w:p>
          <w:p>
            <w:pPr>
              <w:widowControl/>
              <w:spacing w:line="280" w:lineRule="exact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2.开展全系统书记、校（园）长职级制评审认定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 w:bidi="ar"/>
              </w:rPr>
              <w:t>，进一步强化评审认定机制作用发挥，提升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书记、校（园）长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 w:bidi="ar"/>
              </w:rPr>
              <w:t>领导力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；</w:t>
            </w:r>
          </w:p>
          <w:p>
            <w:pPr>
              <w:widowControl/>
              <w:spacing w:line="280" w:lineRule="exact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3.开展星级支部创评，增加四星级以上党支部10个，其中五星级党支部5个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 w:bidi="ar"/>
              </w:rPr>
              <w:t>，夯实党组织建设基础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。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80" w:lineRule="exact"/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组人科</w:t>
            </w:r>
          </w:p>
          <w:p>
            <w:pPr>
              <w:widowControl/>
              <w:spacing w:line="280" w:lineRule="exact"/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局属各单位</w:t>
            </w:r>
          </w:p>
          <w:p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191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“五心服务”</w:t>
            </w:r>
          </w:p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精准党建项目</w:t>
            </w:r>
          </w:p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9712" w:type="dxa"/>
            <w:vAlign w:val="center"/>
          </w:tcPr>
          <w:p>
            <w:pPr>
              <w:widowControl/>
              <w:spacing w:line="280" w:lineRule="exact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1.深入推进“五心服务”，每校新建1处综合服务阵地、新建1支教师志愿服务队伍、新建1支学生志愿服务队伍；</w:t>
            </w:r>
          </w:p>
          <w:p>
            <w:pPr>
              <w:widowControl/>
              <w:spacing w:line="280" w:lineRule="exact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2.选树3-5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 w:bidi="ar"/>
              </w:rPr>
              <w:t>个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“五心服务”精准党建特色典型；</w:t>
            </w:r>
          </w:p>
          <w:p>
            <w:pPr>
              <w:widowControl/>
              <w:spacing w:line="280" w:lineRule="exact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3.新增1-2个区级“红芯·未来”名书记工作室，每校至少组建1个先锋党员工作室。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1544" w:type="dxa"/>
            <w:vAlign w:val="center"/>
          </w:tcPr>
          <w:p>
            <w:pPr>
              <w:widowControl/>
              <w:spacing w:line="280" w:lineRule="exact"/>
              <w:ind w:firstLine="210" w:firstLineChars="100"/>
              <w:jc w:val="left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组人科</w:t>
            </w:r>
          </w:p>
          <w:p>
            <w:pPr>
              <w:widowControl/>
              <w:spacing w:line="280" w:lineRule="exact"/>
              <w:ind w:firstLine="210" w:firstLineChars="100"/>
              <w:jc w:val="left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局属各单位</w:t>
            </w:r>
          </w:p>
          <w:p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191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大中小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 w:bidi="ar"/>
              </w:rPr>
              <w:t>学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思政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 w:bidi="ar"/>
              </w:rPr>
              <w:t>课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一体化建设项目</w:t>
            </w:r>
          </w:p>
        </w:tc>
        <w:tc>
          <w:tcPr>
            <w:tcW w:w="9712" w:type="dxa"/>
            <w:vAlign w:val="center"/>
          </w:tcPr>
          <w:p>
            <w:pPr>
              <w:widowControl/>
              <w:spacing w:line="280" w:lineRule="exact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1.开展“同上一节思政课”“思政大讲堂”等大中小学一体化实践活动，弘扬爱国主义精神；</w:t>
            </w:r>
          </w:p>
          <w:p>
            <w:pPr>
              <w:widowControl/>
              <w:spacing w:line="280" w:lineRule="exact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2.打造一批思政课程和课程思政的示范“金课”；</w:t>
            </w:r>
          </w:p>
          <w:p>
            <w:pPr>
              <w:widowControl/>
              <w:spacing w:line="280" w:lineRule="exact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color w:val="auto"/>
                <w:kern w:val="0"/>
                <w:sz w:val="21"/>
                <w:szCs w:val="21"/>
                <w:lang w:val="en-US" w:bidi="ar"/>
              </w:rPr>
              <w:t>3.借助高校引领，强化专题培训，提升全体教师课程思政意识和大中小学思政课协同育人的能力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。</w:t>
            </w:r>
          </w:p>
        </w:tc>
        <w:tc>
          <w:tcPr>
            <w:tcW w:w="1544" w:type="dxa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信息中心</w:t>
            </w:r>
          </w:p>
          <w:p>
            <w:pPr>
              <w:ind w:firstLine="210" w:firstLineChars="1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教研室</w:t>
            </w:r>
          </w:p>
          <w:p>
            <w:pPr>
              <w:ind w:firstLine="210" w:firstLineChars="1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宣教室</w:t>
            </w:r>
          </w:p>
          <w:p>
            <w:pPr>
              <w:ind w:firstLine="210" w:firstLineChars="1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191" w:type="dxa"/>
            <w:vMerge w:val="restart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人才兴教战略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行动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“头雁领航”</w:t>
            </w:r>
          </w:p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项目</w:t>
            </w:r>
          </w:p>
        </w:tc>
        <w:tc>
          <w:tcPr>
            <w:tcW w:w="9712" w:type="dxa"/>
            <w:vAlign w:val="center"/>
          </w:tcPr>
          <w:p>
            <w:pPr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color w:val="auto"/>
                <w:sz w:val="21"/>
                <w:szCs w:val="21"/>
                <w:lang w:val="en-US"/>
              </w:rPr>
              <w:t>1.发挥市区两级5个名校长工作室作用，建立工作室联动机制，定期开展交流研讨活动；</w:t>
            </w:r>
          </w:p>
          <w:p>
            <w:pPr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color w:val="auto"/>
                <w:sz w:val="21"/>
                <w:szCs w:val="21"/>
                <w:lang w:val="en-US"/>
              </w:rPr>
              <w:t>2.组织开展第二批教育干部赴长三角等先发地区开展沉浸式研修；</w:t>
            </w:r>
          </w:p>
          <w:p>
            <w:pPr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color w:val="auto"/>
                <w:sz w:val="21"/>
                <w:szCs w:val="21"/>
                <w:lang w:val="en-US"/>
              </w:rPr>
              <w:t>3.开展全系统校级干部办学治校典型案例征选活动。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80" w:lineRule="exact"/>
              <w:ind w:firstLine="210" w:firstLineChars="1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组人科</w:t>
            </w:r>
          </w:p>
          <w:p>
            <w:pPr>
              <w:widowControl/>
              <w:spacing w:line="280" w:lineRule="exact"/>
              <w:ind w:firstLine="210" w:firstLineChars="100"/>
              <w:jc w:val="left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局属各单位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191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后备干部</w:t>
            </w:r>
          </w:p>
          <w:p>
            <w:pPr>
              <w:jc w:val="center"/>
              <w:rPr>
                <w:rFonts w:ascii="Times New Roman" w:hAnsi="Times New Roman" w:eastAsia="楷体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壮苗项目</w:t>
            </w:r>
          </w:p>
        </w:tc>
        <w:tc>
          <w:tcPr>
            <w:tcW w:w="9712" w:type="dxa"/>
            <w:vAlign w:val="center"/>
          </w:tcPr>
          <w:p>
            <w:pPr>
              <w:spacing w:line="240" w:lineRule="auto"/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1.建立全系统中青年干部后备人才库，制定培养方案，组织系列专题培训，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后备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干部人人开发一个研究报告；</w:t>
            </w:r>
          </w:p>
          <w:p>
            <w:pPr>
              <w:spacing w:line="240" w:lineRule="auto"/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2.集团校成立青年干部培养中心，定期开展系列主题研讨交流活动；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3.择优提拔一批青年后备干部，遴选10-15位优秀学校中层管理干部跨校多岗位锻炼。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80" w:lineRule="exact"/>
              <w:ind w:firstLine="210" w:firstLineChars="100"/>
              <w:jc w:val="left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组人科</w:t>
            </w:r>
          </w:p>
          <w:p>
            <w:pPr>
              <w:widowControl/>
              <w:spacing w:line="280" w:lineRule="exact"/>
              <w:ind w:firstLine="210" w:firstLineChars="100"/>
              <w:jc w:val="left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局属各单位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191" w:type="dxa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人才兴教战略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行动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种子教师</w:t>
            </w: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培育项目</w:t>
            </w:r>
          </w:p>
        </w:tc>
        <w:tc>
          <w:tcPr>
            <w:tcW w:w="9712" w:type="dxa"/>
            <w:vAlign w:val="center"/>
          </w:tcPr>
          <w:p>
            <w:pPr>
              <w:jc w:val="both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1.以教育家精神引领教师专业成长，做好瑶海教师梯队建设规划，建立优秀教师人才库；</w:t>
            </w:r>
          </w:p>
          <w:p>
            <w:pPr>
              <w:jc w:val="both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2.发挥全国知名专家华应龙、郭声健等高端引领作用，系统开展中小学9个学科“双导师制”活动。发挥王兴桥、朱家芳等正高级教师工作室专业引领和辐射带动作用，培养拔尖人才；</w:t>
            </w:r>
          </w:p>
          <w:p>
            <w:pPr>
              <w:jc w:val="both"/>
              <w:rPr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3.遴选卓越教师赴教育先发地区开展沉浸跟岗研修，提炼教学主张，努力形成教学风格，发挥辐射引领作用。</w:t>
            </w:r>
          </w:p>
        </w:tc>
        <w:tc>
          <w:tcPr>
            <w:tcW w:w="1544" w:type="dxa"/>
            <w:vAlign w:val="center"/>
          </w:tcPr>
          <w:p>
            <w:pPr>
              <w:pStyle w:val="7"/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教研室</w:t>
            </w:r>
          </w:p>
          <w:p>
            <w:pPr>
              <w:pStyle w:val="7"/>
              <w:ind w:firstLine="210" w:firstLineChars="10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19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五育融合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固本行动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0" w:type="dxa"/>
            <w:vAlign w:val="center"/>
          </w:tcPr>
          <w:p>
            <w:pPr>
              <w:ind w:firstLine="210" w:firstLineChars="100"/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德育铸魂项目</w:t>
            </w:r>
          </w:p>
        </w:tc>
        <w:tc>
          <w:tcPr>
            <w:tcW w:w="9712" w:type="dxa"/>
            <w:vAlign w:val="center"/>
          </w:tcPr>
          <w:p>
            <w:pPr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1.升级德育文化艺术节品牌，拓宽德育育人渠道，链接瑶海区5个研学旅行基地，让学生走出校园、走向社会、走进自然；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2.创建省市区三级少先队名师工作室，引领青年辅导员成长，完善全区少先队工作队伍体系建设；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3.开展10场以上歌剧、交响乐等高雅艺术进校园活动。</w:t>
            </w:r>
          </w:p>
        </w:tc>
        <w:tc>
          <w:tcPr>
            <w:tcW w:w="1544" w:type="dxa"/>
            <w:vAlign w:val="center"/>
          </w:tcPr>
          <w:p>
            <w:pPr>
              <w:ind w:left="209" w:leftChars="95"/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宣教室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教育科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191" w:type="dxa"/>
            <w:vMerge w:val="continue"/>
            <w:vAlign w:val="center"/>
          </w:tcPr>
          <w:p>
            <w:pPr>
              <w:pStyle w:val="7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0" w:type="dxa"/>
            <w:vAlign w:val="center"/>
          </w:tcPr>
          <w:p>
            <w:pPr>
              <w:ind w:firstLine="210" w:firstLineChars="100"/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美育浸润项目</w:t>
            </w:r>
          </w:p>
        </w:tc>
        <w:tc>
          <w:tcPr>
            <w:tcW w:w="9712" w:type="dxa"/>
            <w:vAlign w:val="center"/>
          </w:tcPr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1.发挥示范引领作用，评选10所美育示范校，培育50个学生艺术社团，建设好5个美育名师工作室；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2.打造戏曲、非遗、艺术欣赏等美育特色项目，唱响“瑶海之声”教工合唱团，形成良好美育氛围；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3.构建美育课程体系，落实美育浸润行动，遴选美育精品案例20个。</w:t>
            </w:r>
          </w:p>
        </w:tc>
        <w:tc>
          <w:tcPr>
            <w:tcW w:w="1544" w:type="dxa"/>
            <w:vAlign w:val="center"/>
          </w:tcPr>
          <w:p>
            <w:pPr>
              <w:ind w:left="209" w:leftChars="95"/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教研室</w:t>
            </w:r>
          </w:p>
          <w:p>
            <w:pPr>
              <w:ind w:left="209" w:leftChars="95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1191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劳动教育</w:t>
            </w:r>
          </w:p>
          <w:p>
            <w:pPr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强能项目</w:t>
            </w:r>
          </w:p>
        </w:tc>
        <w:tc>
          <w:tcPr>
            <w:tcW w:w="9712" w:type="dxa"/>
            <w:vAlign w:val="center"/>
          </w:tcPr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1.推进劳动教育融合项目全覆盖，打造“劳动+”优秀融合课程案例10个、优秀融合活动10个、优秀学习项目10个；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2.建立2个区级校园优化大师工作室，全区每所中小学幼儿园至少孵化一名校园优化大师；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3.创新组织劳动教育宣传周，每所学校展示项目成果，区级经验在省级以上平台展示1-2次。</w:t>
            </w:r>
          </w:p>
        </w:tc>
        <w:tc>
          <w:tcPr>
            <w:tcW w:w="1544" w:type="dxa"/>
            <w:vAlign w:val="center"/>
          </w:tcPr>
          <w:p>
            <w:pPr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教育科</w:t>
            </w:r>
          </w:p>
          <w:p>
            <w:pPr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191" w:type="dxa"/>
            <w:vMerge w:val="restart"/>
            <w:vAlign w:val="center"/>
          </w:tcPr>
          <w:p>
            <w:pPr>
              <w:pStyle w:val="7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  <w:p>
            <w:pPr>
              <w:pStyle w:val="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优质均衡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发展行动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督导提档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升级项目</w:t>
            </w:r>
          </w:p>
        </w:tc>
        <w:tc>
          <w:tcPr>
            <w:tcW w:w="9712" w:type="dxa"/>
            <w:vAlign w:val="center"/>
          </w:tcPr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color w:val="auto"/>
                <w:kern w:val="0"/>
                <w:sz w:val="21"/>
                <w:szCs w:val="21"/>
                <w:lang w:val="en-US" w:bidi="ar"/>
              </w:rPr>
              <w:t>1.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 w:bidi="ar"/>
              </w:rPr>
              <w:t>聘请专家顾问指导，</w:t>
            </w:r>
            <w:r>
              <w:rPr>
                <w:color w:val="auto"/>
                <w:kern w:val="0"/>
                <w:sz w:val="21"/>
                <w:szCs w:val="21"/>
                <w:lang w:val="en-US" w:bidi="ar"/>
              </w:rPr>
              <w:t>成立4个督学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研究</w:t>
            </w:r>
            <w:r>
              <w:rPr>
                <w:color w:val="auto"/>
                <w:kern w:val="0"/>
                <w:sz w:val="21"/>
                <w:szCs w:val="21"/>
                <w:lang w:val="en-US" w:bidi="ar"/>
              </w:rPr>
              <w:t>小组（质量提升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研究</w:t>
            </w:r>
            <w:r>
              <w:rPr>
                <w:color w:val="auto"/>
                <w:kern w:val="0"/>
                <w:sz w:val="21"/>
                <w:szCs w:val="21"/>
                <w:lang w:val="en-US" w:bidi="ar"/>
              </w:rPr>
              <w:t>小组、课程建设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研究</w:t>
            </w:r>
            <w:r>
              <w:rPr>
                <w:color w:val="auto"/>
                <w:kern w:val="0"/>
                <w:sz w:val="21"/>
                <w:szCs w:val="21"/>
                <w:lang w:val="en-US" w:bidi="ar"/>
              </w:rPr>
              <w:t>小组、幼小衔接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研究</w:t>
            </w:r>
            <w:r>
              <w:rPr>
                <w:color w:val="auto"/>
                <w:kern w:val="0"/>
                <w:sz w:val="21"/>
                <w:szCs w:val="21"/>
                <w:lang w:val="en-US" w:bidi="ar"/>
              </w:rPr>
              <w:t>小组、文化建设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研究</w:t>
            </w:r>
            <w:r>
              <w:rPr>
                <w:color w:val="auto"/>
                <w:kern w:val="0"/>
                <w:sz w:val="21"/>
                <w:szCs w:val="21"/>
                <w:lang w:val="en-US" w:bidi="ar"/>
              </w:rPr>
              <w:t>小组）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，促进督导队伍专业化水平整体提升</w:t>
            </w:r>
            <w:r>
              <w:rPr>
                <w:color w:val="auto"/>
                <w:kern w:val="0"/>
                <w:sz w:val="21"/>
                <w:szCs w:val="21"/>
                <w:lang w:val="en-US" w:bidi="ar"/>
              </w:rPr>
              <w:t>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color w:val="auto"/>
                <w:kern w:val="0"/>
                <w:sz w:val="21"/>
                <w:szCs w:val="21"/>
                <w:lang w:val="en-US" w:bidi="ar"/>
              </w:rPr>
              <w:t>2.创新“先导后督”工作模式，编制《瑶海区教育督导工作指导手册》，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推动督导工作更具科学性和指导性</w:t>
            </w:r>
            <w:r>
              <w:rPr>
                <w:color w:val="auto"/>
                <w:kern w:val="0"/>
                <w:sz w:val="21"/>
                <w:szCs w:val="21"/>
                <w:lang w:val="en-US" w:bidi="ar"/>
              </w:rPr>
              <w:t>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color w:val="auto"/>
                <w:kern w:val="0"/>
                <w:sz w:val="21"/>
                <w:szCs w:val="21"/>
                <w:lang w:val="en-US" w:bidi="ar"/>
              </w:rPr>
              <w:t>3.精简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优化</w:t>
            </w:r>
            <w:r>
              <w:rPr>
                <w:color w:val="auto"/>
                <w:kern w:val="0"/>
                <w:sz w:val="21"/>
                <w:szCs w:val="21"/>
                <w:lang w:val="en-US" w:bidi="ar"/>
              </w:rPr>
              <w:t>学校年度目标考核细则，突出核心考核指标，强化过程性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评价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 w:bidi="ar"/>
              </w:rPr>
              <w:t>，助力学校高质量发展</w:t>
            </w:r>
            <w:r>
              <w:rPr>
                <w:color w:val="auto"/>
                <w:kern w:val="0"/>
                <w:sz w:val="21"/>
                <w:szCs w:val="21"/>
                <w:lang w:val="en-US" w:bidi="ar"/>
              </w:rPr>
              <w:t>。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1544" w:type="dxa"/>
            <w:vAlign w:val="center"/>
          </w:tcPr>
          <w:p>
            <w:pPr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督导科</w:t>
            </w:r>
          </w:p>
          <w:p>
            <w:pPr>
              <w:ind w:firstLine="210" w:firstLineChars="100"/>
              <w:jc w:val="both"/>
              <w:rPr>
                <w:rFonts w:eastAsia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191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美丽校园</w:t>
            </w:r>
          </w:p>
          <w:p>
            <w:pPr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提品项目</w:t>
            </w:r>
          </w:p>
        </w:tc>
        <w:tc>
          <w:tcPr>
            <w:tcW w:w="9712" w:type="dxa"/>
            <w:vAlign w:val="center"/>
          </w:tcPr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1.培育校园基础建设和绿化提升专业监管人才，组建一支“美丽校园提品专业服务队”；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br w:type="textWrapping"/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2.制定校园维修、文化建设三年滚动计划，力争完成15所学校维修改造和文化提升；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br w:type="textWrapping"/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3.建成中小学幼儿园10所，新增学位5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 w:bidi="ar"/>
              </w:rPr>
              <w:t>34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0个，加速推进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个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 w:bidi="ar"/>
              </w:rPr>
              <w:t>新建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改扩建项目。</w:t>
            </w:r>
          </w:p>
        </w:tc>
        <w:tc>
          <w:tcPr>
            <w:tcW w:w="1544" w:type="dxa"/>
            <w:vAlign w:val="center"/>
          </w:tcPr>
          <w:p>
            <w:pPr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项目科</w:t>
            </w:r>
          </w:p>
          <w:p>
            <w:pPr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1191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学校品牌</w:t>
            </w:r>
          </w:p>
          <w:p>
            <w:pPr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培育项目</w:t>
            </w:r>
          </w:p>
        </w:tc>
        <w:tc>
          <w:tcPr>
            <w:tcW w:w="9712" w:type="dxa"/>
            <w:vAlign w:val="center"/>
          </w:tcPr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1.聚焦学校办学规划、品牌特色，借智专家问诊把脉，做好学校发展顶层设计；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2.动态优化调整集团化办学布局，建立集团成员校评估、进出机制，指导非集团校以“新优质学校创建”模式，项目化推进办学特色建设，支持11中多样化办学彰显特色，助力在合肥市普通高中质量评估中继续保持前列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3.打造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 w:bidi="ar"/>
              </w:rPr>
              <w:t>新优质学校、素质教育示范校、成长型思维试点实验校等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各类样态典范学校8-10所。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1544" w:type="dxa"/>
            <w:vAlign w:val="center"/>
          </w:tcPr>
          <w:p>
            <w:pPr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教育科</w:t>
            </w:r>
          </w:p>
          <w:p>
            <w:pPr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19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学前教育双普行动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团队建设</w:t>
            </w:r>
          </w:p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提升项目</w:t>
            </w:r>
          </w:p>
        </w:tc>
        <w:tc>
          <w:tcPr>
            <w:tcW w:w="9712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1.系统谋划教师梯队建设，力争培养10名区级以上骨干教师；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2.深入推进长三角一体化共建项目，充分发挥与南京一幼共建平台作用，选派一批园长跟岗学习；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3.开展园长、教师交流轮岗，交流人数达30%以上。</w:t>
            </w:r>
          </w:p>
        </w:tc>
        <w:tc>
          <w:tcPr>
            <w:tcW w:w="1544" w:type="dxa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</w:p>
          <w:p>
            <w:pPr>
              <w:ind w:firstLine="210" w:firstLineChars="1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  <w:t>学前办</w:t>
            </w:r>
          </w:p>
          <w:p>
            <w:pPr>
              <w:ind w:firstLine="210" w:firstLineChars="1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组人科</w:t>
            </w:r>
          </w:p>
          <w:p>
            <w:pPr>
              <w:ind w:firstLine="210" w:firstLineChars="1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各幼儿园</w:t>
            </w:r>
          </w:p>
          <w:p>
            <w:pPr>
              <w:ind w:firstLine="210" w:firstLineChars="1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191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</w:p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课程建设</w:t>
            </w:r>
          </w:p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提升项目</w:t>
            </w:r>
          </w:p>
        </w:tc>
        <w:tc>
          <w:tcPr>
            <w:tcW w:w="9712" w:type="dxa"/>
            <w:vAlign w:val="center"/>
          </w:tcPr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1.推进安吉游戏环境创设，转变教师游戏课程理念。评选优秀课例，打造3所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 w:bidi="ar"/>
              </w:rPr>
              <w:t>以上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区级试点园；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2.创新STEM园本课程建设，打造5所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 w:bidi="ar"/>
              </w:rPr>
              <w:t>以上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STEM课程试点园；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3.推进幼小衔接课程深度融合，开展幼儿园保育教育质量评估，评选10对幼小衔接优秀单位和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15所区级保教质量优秀园。</w:t>
            </w:r>
          </w:p>
          <w:p>
            <w:pPr>
              <w:pStyle w:val="2"/>
              <w:ind w:left="440"/>
              <w:jc w:val="both"/>
              <w:rPr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544" w:type="dxa"/>
            <w:vAlign w:val="center"/>
          </w:tcPr>
          <w:p>
            <w:pPr>
              <w:pStyle w:val="2"/>
              <w:spacing w:after="0"/>
              <w:ind w:left="0" w:leftChars="0" w:firstLine="210" w:firstLineChars="10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学前办 </w:t>
            </w:r>
          </w:p>
          <w:p>
            <w:pPr>
              <w:pStyle w:val="2"/>
              <w:spacing w:after="0"/>
              <w:ind w:left="0" w:leftChars="0" w:firstLine="210" w:firstLineChars="10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  <w:t>教研室</w:t>
            </w:r>
          </w:p>
          <w:p>
            <w:pPr>
              <w:pStyle w:val="2"/>
              <w:spacing w:after="0"/>
              <w:ind w:left="0" w:leftChars="0" w:firstLine="210" w:firstLineChars="10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信息中心</w:t>
            </w:r>
          </w:p>
          <w:p>
            <w:pPr>
              <w:pStyle w:val="2"/>
              <w:spacing w:after="0"/>
              <w:ind w:left="0" w:leftChars="0" w:firstLine="210" w:firstLineChars="100"/>
              <w:jc w:val="both"/>
              <w:rPr>
                <w:rFonts w:ascii="Times New Roman" w:hAnsi="Times New Roman" w:cs="Times New Roman" w:eastAsia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督导科</w:t>
            </w:r>
          </w:p>
          <w:p>
            <w:pPr>
              <w:ind w:firstLine="210" w:firstLineChars="100"/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各幼儿园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191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集团化办园</w:t>
            </w:r>
          </w:p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提升项目</w:t>
            </w:r>
          </w:p>
        </w:tc>
        <w:tc>
          <w:tcPr>
            <w:tcW w:w="9712" w:type="dxa"/>
            <w:vAlign w:val="center"/>
          </w:tcPr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1.科学调整幼教集团布局，实现幼教集团扩容，制定集团化办园考核细则，以评促建；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2.开展不少于5次区级层面读书交流、亲子阅读、教学观摩等活动，强化集团内课程建设和教研活动的资源共享；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3.发挥集团的引领辐射作用，落实全区幼儿园游戏化教学100%全覆盖，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 w:bidi="ar"/>
              </w:rPr>
              <w:t>探索游戏化教学瑶海模式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。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1544" w:type="dxa"/>
            <w:vAlign w:val="center"/>
          </w:tcPr>
          <w:p>
            <w:pPr>
              <w:pStyle w:val="2"/>
              <w:spacing w:after="0"/>
              <w:ind w:left="0" w:leftChars="0" w:firstLine="210" w:firstLineChars="10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  <w:t>学前办</w:t>
            </w:r>
          </w:p>
          <w:p>
            <w:pPr>
              <w:pStyle w:val="2"/>
              <w:spacing w:after="0"/>
              <w:ind w:left="0" w:leftChars="0" w:firstLine="210" w:firstLineChars="10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督导科</w:t>
            </w:r>
          </w:p>
          <w:p>
            <w:pPr>
              <w:ind w:firstLine="210" w:firstLineChars="100"/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各幼儿园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19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教育质量提升行动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精品课程</w:t>
            </w:r>
          </w:p>
          <w:p>
            <w:pPr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培育项目</w:t>
            </w:r>
          </w:p>
        </w:tc>
        <w:tc>
          <w:tcPr>
            <w:tcW w:w="9712" w:type="dxa"/>
            <w:vAlign w:val="center"/>
          </w:tcPr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1.通过“规范—内涵—特色—品牌”的精品课程培育路径，健全中小学课程体系；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2.实施专家进校园、区精品课程展评、课程建设成果分享等活动；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3.培育6-8所课程建设样板校。</w:t>
            </w:r>
          </w:p>
        </w:tc>
        <w:tc>
          <w:tcPr>
            <w:tcW w:w="1544" w:type="dxa"/>
            <w:vAlign w:val="center"/>
          </w:tcPr>
          <w:p>
            <w:pPr>
              <w:ind w:firstLine="210" w:firstLineChars="100"/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教研室</w:t>
            </w:r>
          </w:p>
          <w:p>
            <w:pPr>
              <w:ind w:firstLine="210" w:firstLineChars="100"/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生本课堂</w:t>
            </w:r>
          </w:p>
          <w:p>
            <w:pPr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建设项目</w:t>
            </w:r>
          </w:p>
        </w:tc>
        <w:tc>
          <w:tcPr>
            <w:tcW w:w="9712" w:type="dxa"/>
            <w:vAlign w:val="center"/>
          </w:tcPr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1.开展教研文化月、区中青年教师竞赛、课标学习等活动，积极践行“以生为本”课堂范式；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2.推进校级课题实施，做到“校校有项目、人人做科研”，市级课题立项率达65%；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3.开展作业设计大赛、跨学科教学实践案例评选活动。</w:t>
            </w:r>
          </w:p>
        </w:tc>
        <w:tc>
          <w:tcPr>
            <w:tcW w:w="1544" w:type="dxa"/>
            <w:vAlign w:val="center"/>
          </w:tcPr>
          <w:p>
            <w:pPr>
              <w:ind w:firstLine="210" w:firstLineChars="100"/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教研室</w:t>
            </w:r>
          </w:p>
          <w:p>
            <w:pPr>
              <w:ind w:firstLine="210" w:firstLineChars="100"/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191" w:type="dxa"/>
            <w:vMerge w:val="continue"/>
          </w:tcPr>
          <w:p>
            <w:pPr>
              <w:pStyle w:val="7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精准教研</w:t>
            </w:r>
          </w:p>
          <w:p>
            <w:pPr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创新项目</w:t>
            </w:r>
          </w:p>
        </w:tc>
        <w:tc>
          <w:tcPr>
            <w:tcW w:w="9712" w:type="dxa"/>
            <w:vAlign w:val="center"/>
          </w:tcPr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1.发挥制度创新引领作用，出台并用好《关于进一步加强中小学教学管理工作的六条实施意见》《瑶海区中小学常规教研管理制度》《瑶海区中小学视导调研评价制度》；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2.优化教研员队伍，逐步形成“定量考核，跟踪问效”的考核机制，持续开展教研员联系学校工作，坚持问题意识，定向精准帮扶，完成上一次课、做一场报告、开展一个项目研究的“三个一”任务；</w:t>
            </w:r>
          </w:p>
          <w:p>
            <w:pPr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color w:val="auto"/>
                <w:kern w:val="0"/>
                <w:sz w:val="21"/>
                <w:szCs w:val="21"/>
                <w:lang w:val="en-US" w:bidi="ar"/>
              </w:rPr>
              <w:t>3.加强学校教科研队伍建设，瞄准2026年国家基础教育教学成果奖，实现“零的突破”，重点培育3-5项省级成果，15-20项市级成果。提高新进教师、骨干教师、领军教师的专业能力，培养4-6位特级教师或正高级教师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。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 w:bidi="ar"/>
              </w:rPr>
              <w:t>探索实施“大数据背景下学校办学质量评价项目”。</w:t>
            </w:r>
          </w:p>
        </w:tc>
        <w:tc>
          <w:tcPr>
            <w:tcW w:w="1544" w:type="dxa"/>
            <w:vAlign w:val="center"/>
          </w:tcPr>
          <w:p>
            <w:pPr>
              <w:ind w:firstLine="210" w:firstLineChars="100"/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教研室</w:t>
            </w:r>
          </w:p>
          <w:p>
            <w:pPr>
              <w:ind w:firstLine="210" w:firstLineChars="100"/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191" w:type="dxa"/>
            <w:vMerge w:val="restart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数字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教育赋能行动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“数字化”资源应用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项目</w:t>
            </w:r>
          </w:p>
        </w:tc>
        <w:tc>
          <w:tcPr>
            <w:tcW w:w="9712" w:type="dxa"/>
            <w:vAlign w:val="center"/>
          </w:tcPr>
          <w:p>
            <w:pPr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</w:rPr>
              <w:t>.全年开展12次智慧教育专题研讨活动，加强课题研究，形成2个学科智慧课堂教学模式；</w:t>
            </w:r>
          </w:p>
          <w:p>
            <w:pPr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2.</w:t>
            </w:r>
            <w:r>
              <w:rPr>
                <w:rFonts w:hint="eastAsia"/>
                <w:color w:val="auto"/>
                <w:sz w:val="21"/>
                <w:szCs w:val="21"/>
              </w:rPr>
              <w:t>推进“央馆人工智能课程”试点区工作，遴选人工智能典型课例15个；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color w:val="auto"/>
                <w:sz w:val="21"/>
                <w:szCs w:val="21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.完善“装训研用评”五位一体工作机制，组建“设备应用优化大师”团队。</w:t>
            </w:r>
          </w:p>
        </w:tc>
        <w:tc>
          <w:tcPr>
            <w:tcW w:w="1544" w:type="dxa"/>
            <w:vAlign w:val="center"/>
          </w:tcPr>
          <w:p>
            <w:pPr>
              <w:pStyle w:val="7"/>
              <w:ind w:firstLine="210" w:firstLineChars="100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信息中心</w:t>
            </w:r>
          </w:p>
          <w:p>
            <w:pPr>
              <w:pStyle w:val="7"/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191" w:type="dxa"/>
            <w:vMerge w:val="continue"/>
          </w:tcPr>
          <w:p>
            <w:pPr>
              <w:pStyle w:val="7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“跨学科”融合创新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项目</w:t>
            </w:r>
          </w:p>
        </w:tc>
        <w:tc>
          <w:tcPr>
            <w:tcW w:w="9712" w:type="dxa"/>
            <w:vAlign w:val="center"/>
          </w:tcPr>
          <w:p>
            <w:pPr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1.建立5个STEM研究基地校，遴选30位种子教师，创建科学人才库，研发STEM课程，形成区域STEM课程群；</w:t>
            </w:r>
          </w:p>
          <w:p>
            <w:pPr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2.实现科学副校长全覆盖，遴选3-5所区级科学教育示范校；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3.启动“带着项目拜师”青蓝工程，探索科学学科人才与科技创新人才融合培养新模式。</w:t>
            </w:r>
          </w:p>
        </w:tc>
        <w:tc>
          <w:tcPr>
            <w:tcW w:w="1544" w:type="dxa"/>
            <w:vAlign w:val="center"/>
          </w:tcPr>
          <w:p>
            <w:pPr>
              <w:ind w:firstLine="210" w:firstLineChars="100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信息中心</w:t>
            </w:r>
          </w:p>
          <w:p>
            <w:pPr>
              <w:ind w:firstLine="210" w:firstLineChars="100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教研室</w:t>
            </w:r>
          </w:p>
          <w:p>
            <w:pPr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191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“馆校社”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互动</w:t>
            </w:r>
            <w:r>
              <w:rPr>
                <w:rFonts w:hint="eastAsia"/>
                <w:color w:val="auto"/>
                <w:sz w:val="21"/>
                <w:szCs w:val="21"/>
              </w:rPr>
              <w:t>协作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项目</w:t>
            </w:r>
          </w:p>
        </w:tc>
        <w:tc>
          <w:tcPr>
            <w:tcW w:w="9712" w:type="dxa"/>
            <w:vAlign w:val="center"/>
          </w:tcPr>
          <w:p>
            <w:pPr>
              <w:jc w:val="both"/>
              <w:rPr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1.加强与中国教科院合作，遴选16所学校成立“评价驱动教育高质量发展”联盟校，开展未来教育试点校研究；</w:t>
            </w:r>
          </w:p>
          <w:p>
            <w:pPr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  <w:r>
              <w:rPr>
                <w:color w:val="auto"/>
                <w:sz w:val="21"/>
                <w:szCs w:val="21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</w:rPr>
              <w:t>依托市、区科技教育工作室，推进项目式教学研究，提升师生数字素养，探索适合瑶海特色的项目式教学模式；</w:t>
            </w:r>
          </w:p>
          <w:p>
            <w:pPr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.与省青少年科技活动中心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等</w:t>
            </w:r>
            <w:r>
              <w:rPr>
                <w:rFonts w:hint="eastAsia"/>
                <w:color w:val="auto"/>
                <w:sz w:val="21"/>
                <w:szCs w:val="21"/>
              </w:rPr>
              <w:t>合作共建，馆校协作，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充分发挥科学副校长作用</w:t>
            </w:r>
            <w:r>
              <w:rPr>
                <w:rFonts w:hint="eastAsia"/>
                <w:color w:val="auto"/>
                <w:sz w:val="21"/>
                <w:szCs w:val="21"/>
              </w:rPr>
              <w:t>，组织各类科普活动，提升学生科学素养。</w:t>
            </w:r>
          </w:p>
          <w:p>
            <w:pPr>
              <w:pStyle w:val="2"/>
              <w:ind w:left="0" w:leftChars="0" w:firstLine="0"/>
              <w:jc w:val="both"/>
              <w:rPr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544" w:type="dxa"/>
            <w:vAlign w:val="center"/>
          </w:tcPr>
          <w:p>
            <w:pPr>
              <w:pStyle w:val="7"/>
              <w:ind w:firstLine="210" w:firstLineChars="100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信息中心</w:t>
            </w:r>
          </w:p>
          <w:p>
            <w:pPr>
              <w:pStyle w:val="7"/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19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体教融合促进行动</w:t>
            </w:r>
          </w:p>
          <w:p>
            <w:pPr>
              <w:pStyle w:val="7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健身设施</w:t>
            </w:r>
          </w:p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提升项目</w:t>
            </w:r>
          </w:p>
        </w:tc>
        <w:tc>
          <w:tcPr>
            <w:tcW w:w="9712" w:type="dxa"/>
            <w:vAlign w:val="center"/>
          </w:tcPr>
          <w:p>
            <w:pPr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1.加速瑶海体育中心等项目建设，改造提升30处健身苑，打造3-6处健身示范点；</w:t>
            </w:r>
          </w:p>
          <w:p>
            <w:pPr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2.充分发挥学校体育场地对外开放作用，打造15分钟健身圈；</w:t>
            </w:r>
          </w:p>
          <w:p>
            <w:pPr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3.利用监管平台，常态化维护好健身器材，提升群众满意度。</w:t>
            </w:r>
          </w:p>
        </w:tc>
        <w:tc>
          <w:tcPr>
            <w:tcW w:w="1544" w:type="dxa"/>
            <w:vAlign w:val="center"/>
          </w:tcPr>
          <w:p>
            <w:pPr>
              <w:ind w:firstLine="210" w:firstLineChars="100"/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体育科</w:t>
            </w:r>
          </w:p>
          <w:p>
            <w:pPr>
              <w:ind w:firstLine="210" w:firstLineChars="100"/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191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精品赛事</w:t>
            </w:r>
          </w:p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推广项目</w:t>
            </w:r>
          </w:p>
        </w:tc>
        <w:tc>
          <w:tcPr>
            <w:tcW w:w="9712" w:type="dxa"/>
          </w:tcPr>
          <w:p>
            <w:pPr>
              <w:jc w:val="both"/>
              <w:rPr>
                <w:color w:val="auto"/>
                <w:sz w:val="21"/>
                <w:szCs w:val="21"/>
                <w:lang w:val="en-US"/>
              </w:rPr>
            </w:pPr>
          </w:p>
          <w:p>
            <w:pPr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1.组织和承办省、市品牌赛事，开展区级群众体育赛事活动10项以上；</w:t>
            </w:r>
          </w:p>
          <w:p>
            <w:pPr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2.探索社会体育指导员作用凸显创新举措，发挥“链式反应”效果，服务群众万人以上，完成国民体质监测千人以上，强化监测结果运用；</w:t>
            </w:r>
          </w:p>
          <w:p>
            <w:pPr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3.进一步完善区级联赛机制，组织区级中小学联赛，竞赛场次600场以上，参与学生万人以上。</w:t>
            </w:r>
          </w:p>
        </w:tc>
        <w:tc>
          <w:tcPr>
            <w:tcW w:w="1544" w:type="dxa"/>
            <w:vAlign w:val="center"/>
          </w:tcPr>
          <w:p>
            <w:pPr>
              <w:ind w:firstLine="210" w:firstLineChars="100"/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体育科</w:t>
            </w:r>
          </w:p>
          <w:p>
            <w:pPr>
              <w:ind w:firstLine="210" w:firstLineChars="100"/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1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特色品牌</w:t>
            </w:r>
          </w:p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培育项目</w:t>
            </w:r>
          </w:p>
        </w:tc>
        <w:tc>
          <w:tcPr>
            <w:tcW w:w="9712" w:type="dxa"/>
          </w:tcPr>
          <w:p>
            <w:pPr>
              <w:jc w:val="both"/>
              <w:rPr>
                <w:color w:val="auto"/>
                <w:sz w:val="21"/>
                <w:szCs w:val="21"/>
                <w:lang w:val="en-US"/>
              </w:rPr>
            </w:pPr>
          </w:p>
          <w:p>
            <w:pPr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1.逐步推进小学每天开设一节体育课，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打造裕溪路学校、幸福路小学等10所试点实验校，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夯实体育“五个一”工程；</w:t>
            </w:r>
          </w:p>
          <w:p>
            <w:pPr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2.创新大课间活动形式，着力保障学生每天校内、校外各1个小时体育活动时间，总结推广大课间活动典型校展示；</w:t>
            </w:r>
            <w:bookmarkStart w:id="0" w:name="_GoBack"/>
            <w:bookmarkEnd w:id="0"/>
          </w:p>
          <w:p>
            <w:pPr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3.打造学校体育特色品牌，办好女足（U16、U18）省、市队和省市体育传统校，创建一批市级及以上特色体育学校。</w:t>
            </w:r>
          </w:p>
        </w:tc>
        <w:tc>
          <w:tcPr>
            <w:tcW w:w="1544" w:type="dxa"/>
            <w:vAlign w:val="center"/>
          </w:tcPr>
          <w:p>
            <w:pPr>
              <w:ind w:firstLine="210" w:firstLineChars="100"/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体育科</w:t>
            </w:r>
          </w:p>
          <w:p>
            <w:pPr>
              <w:ind w:firstLine="210" w:firstLineChars="100"/>
              <w:jc w:val="both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191" w:type="dxa"/>
            <w:vMerge w:val="restart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阳光心育成长行动</w:t>
            </w:r>
          </w:p>
          <w:p>
            <w:pPr>
              <w:pStyle w:val="7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ind w:firstLine="210" w:firstLineChars="100"/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心育向阳项目</w:t>
            </w:r>
          </w:p>
        </w:tc>
        <w:tc>
          <w:tcPr>
            <w:tcW w:w="9712" w:type="dxa"/>
            <w:vAlign w:val="center"/>
          </w:tcPr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1.充分发挥专兼职教研员作用，配足配齐专职心理健康教师，开足开齐上好心理健康教育课，创建2所市级心理健康教育特色校；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2.每学期开展1次学生心理健康测评，规范建立心理健康档案，落实三级包保关爱帮扶制度；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3.与市二院、妇联、公安、民政等部门深度合作，实现信息互通共享。</w:t>
            </w:r>
          </w:p>
        </w:tc>
        <w:tc>
          <w:tcPr>
            <w:tcW w:w="1544" w:type="dxa"/>
            <w:vAlign w:val="center"/>
          </w:tcPr>
          <w:p>
            <w:pPr>
              <w:ind w:firstLine="210" w:firstLineChars="10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</w:p>
          <w:p>
            <w:pPr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安全科</w:t>
            </w:r>
          </w:p>
          <w:p>
            <w:pPr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局属各单位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191" w:type="dxa"/>
            <w:vMerge w:val="continue"/>
          </w:tcPr>
          <w:p>
            <w:pPr>
              <w:pStyle w:val="7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ind w:firstLine="210" w:firstLineChars="100"/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监管护苗项目</w:t>
            </w:r>
          </w:p>
        </w:tc>
        <w:tc>
          <w:tcPr>
            <w:tcW w:w="9712" w:type="dxa"/>
            <w:vAlign w:val="center"/>
          </w:tcPr>
          <w:p>
            <w:pPr>
              <w:jc w:val="left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1.严查隐形变异违规开展学科类培训行为，发挥136名区级协管员作用，实现校内校外双管齐下，有效减轻学生校外培训负担；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2.每月至少开展一次校外培训机构安全风险隐患排查，营造安全健康的培训环境；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3.加强对校外培训材料和教学内容等审查，确保校外培训意识形态安全。</w:t>
            </w:r>
          </w:p>
        </w:tc>
        <w:tc>
          <w:tcPr>
            <w:tcW w:w="1544" w:type="dxa"/>
            <w:vAlign w:val="center"/>
          </w:tcPr>
          <w:p>
            <w:pPr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校监科</w:t>
            </w:r>
          </w:p>
          <w:p>
            <w:pPr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局属各单位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191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0" w:type="dxa"/>
            <w:vAlign w:val="center"/>
          </w:tcPr>
          <w:p>
            <w:pPr>
              <w:ind w:firstLine="210" w:firstLineChars="100"/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家校社共育“百千万”项目</w:t>
            </w:r>
          </w:p>
        </w:tc>
        <w:tc>
          <w:tcPr>
            <w:tcW w:w="9712" w:type="dxa"/>
            <w:vAlign w:val="center"/>
          </w:tcPr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1.发挥“全国家校社共育实践区”平台作用，构建家庭教育智慧平台，打造13所家庭教育实践校，培育百名家庭教育种子教师，开展区、校、班家庭教育报告千场；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2.组建首批瑶海区“好家长成长报告团”，遴选百名区级好家长、千名校级好家长，通过各校开展家庭教育征文、故事宣讲等特色活动，辐射影响全区数万个家庭；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3.围绕《瑶海区班主任工作手册》，开展主题学习、情境模拟、技能大赛等活动，评选学习标兵100名。</w:t>
            </w:r>
          </w:p>
        </w:tc>
        <w:tc>
          <w:tcPr>
            <w:tcW w:w="1544" w:type="dxa"/>
            <w:vAlign w:val="center"/>
          </w:tcPr>
          <w:p>
            <w:pPr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关工委</w:t>
            </w:r>
          </w:p>
          <w:p>
            <w:pPr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教育科</w:t>
            </w:r>
          </w:p>
          <w:p>
            <w:pPr>
              <w:ind w:firstLine="210" w:firstLineChars="100"/>
              <w:jc w:val="both"/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妇  联</w:t>
            </w:r>
          </w:p>
          <w:p>
            <w:pPr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191" w:type="dxa"/>
            <w:vMerge w:val="restart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平安校园守护行动</w:t>
            </w:r>
          </w:p>
          <w:p>
            <w:pPr>
              <w:pStyle w:val="7"/>
              <w:jc w:val="center"/>
              <w:rPr>
                <w:rFonts w:ascii="Times New Roman" w:hAnsi="Times New Roman" w:eastAsia="楷体" w:cs="Times New Roman"/>
                <w:b/>
                <w:bCs/>
                <w:color w:val="auto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安全教育</w:t>
            </w:r>
            <w:r>
              <w:rPr>
                <w:rFonts w:hint="eastAsia"/>
                <w:color w:val="auto"/>
                <w:sz w:val="21"/>
                <w:szCs w:val="21"/>
              </w:rPr>
              <w:t>项目</w:t>
            </w:r>
          </w:p>
        </w:tc>
        <w:tc>
          <w:tcPr>
            <w:tcW w:w="9712" w:type="dxa"/>
          </w:tcPr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1.做好《瑶海区校园安全工作指导手册》使用培训，开展“一月一主题” 安全教育进课程进课堂，落实“1530”安全提醒制度全覆盖；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2.推动校园安全工作法治化、科学化建设，汇编《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 w:bidi="ar"/>
              </w:rPr>
              <w:t>瑶海区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学校常用法律法规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 w:bidi="ar"/>
              </w:rPr>
              <w:t>选编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》《瑶海区校园安全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 w:bidi="ar"/>
              </w:rPr>
              <w:t>典型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案例库》，定期开展宣讲、印发安全警示单；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3.分层分类开展安全专题培训，学生安全知识普及率100%。</w:t>
            </w:r>
          </w:p>
        </w:tc>
        <w:tc>
          <w:tcPr>
            <w:tcW w:w="1544" w:type="dxa"/>
          </w:tcPr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安全科</w:t>
            </w:r>
          </w:p>
          <w:p>
            <w:pPr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191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楷体" w:cs="Times New Roman"/>
                <w:b/>
                <w:bCs/>
                <w:color w:val="auto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协同护航项目</w:t>
            </w:r>
          </w:p>
        </w:tc>
        <w:tc>
          <w:tcPr>
            <w:tcW w:w="9712" w:type="dxa"/>
          </w:tcPr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1.规范使用《瑶海区校园安全隐患整改工作台帐》，每月开展不少于1次校园安全及周边隐患排查，实现安全检查隐患整改完成率100%；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2.成立瑶海区校园矛盾纠纷调解委员会，优化“校园警务联络室”工作，开展平安校园建设“211行动”（即警员每月不少于2次到校工作，开展1次安全检查、公布1次校园周边治安情况）；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3.优化“互联网+ 明厨亮灶”智慧监管功能，每月开展校园食品安全检查，全覆盖配备校园食品安全总监和食品安全员。</w:t>
            </w:r>
          </w:p>
        </w:tc>
        <w:tc>
          <w:tcPr>
            <w:tcW w:w="1544" w:type="dxa"/>
          </w:tcPr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安全科</w:t>
            </w:r>
          </w:p>
          <w:p>
            <w:pPr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191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示范创建项目</w:t>
            </w:r>
          </w:p>
          <w:p>
            <w:pPr>
              <w:jc w:val="center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9712" w:type="dxa"/>
          </w:tcPr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1.创建市级学校食堂食品安全A级单位160家，改造升级薄弱校园食堂30家；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2.创建市级以上“依法治校示范校”“防震减灾示范校”各2所；</w:t>
            </w: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3.评定区级“健康学校”30所、“无烟校园”210所。</w:t>
            </w:r>
          </w:p>
        </w:tc>
        <w:tc>
          <w:tcPr>
            <w:tcW w:w="1544" w:type="dxa"/>
          </w:tcPr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</w:p>
          <w:p>
            <w:pPr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安全科</w:t>
            </w:r>
          </w:p>
          <w:p>
            <w:pPr>
              <w:ind w:firstLine="210" w:firstLineChars="100"/>
              <w:jc w:val="both"/>
              <w:rPr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bidi="ar"/>
              </w:rPr>
              <w:t>局属各单位</w:t>
            </w:r>
          </w:p>
        </w:tc>
      </w:tr>
    </w:tbl>
    <w:p>
      <w:pPr>
        <w:pStyle w:val="2"/>
        <w:ind w:left="0" w:leftChars="0" w:firstLine="0"/>
        <w:rPr>
          <w:rFonts w:ascii="Times New Roman" w:hAnsi="Times New Roman" w:cs="Times New Roman"/>
          <w:color w:val="auto"/>
        </w:rPr>
        <w:sectPr>
          <w:footerReference r:id="rId7" w:type="default"/>
          <w:footerReference r:id="rId8" w:type="even"/>
          <w:type w:val="continuous"/>
          <w:pgSz w:w="16840" w:h="11910" w:orient="landscape"/>
          <w:pgMar w:top="1587" w:right="2098" w:bottom="1474" w:left="1984" w:header="0" w:footer="1184" w:gutter="0"/>
          <w:cols w:space="720" w:num="1"/>
        </w:sectPr>
      </w:pPr>
    </w:p>
    <w:p>
      <w:pPr>
        <w:tabs>
          <w:tab w:val="left" w:pos="1646"/>
        </w:tabs>
        <w:rPr>
          <w:color w:val="auto"/>
        </w:rPr>
      </w:pPr>
    </w:p>
    <w:p>
      <w:pPr>
        <w:pStyle w:val="7"/>
        <w:rPr>
          <w:rFonts w:ascii="Times New Roman" w:hAnsi="Times New Roman" w:cs="Times New Roman"/>
          <w:sz w:val="20"/>
        </w:rPr>
      </w:pPr>
    </w:p>
    <w:p>
      <w:pPr>
        <w:pStyle w:val="7"/>
        <w:rPr>
          <w:rFonts w:ascii="Times New Roman" w:hAnsi="Times New Roman" w:cs="Times New Roman"/>
          <w:sz w:val="20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pStyle w:val="2"/>
        <w:ind w:left="0" w:leftChars="0" w:firstLine="0"/>
        <w:rPr>
          <w:rFonts w:ascii="Times New Roman" w:hAnsi="Times New Roman" w:cs="Times New Roman"/>
        </w:rPr>
        <w:sectPr>
          <w:footerReference r:id="rId9" w:type="default"/>
          <w:footerReference r:id="rId10" w:type="even"/>
          <w:type w:val="continuous"/>
          <w:pgSz w:w="16840" w:h="11910" w:orient="landscape"/>
          <w:pgMar w:top="1587" w:right="2098" w:bottom="1474" w:left="1984" w:header="0" w:footer="1184" w:gutter="0"/>
          <w:cols w:space="720" w:num="1"/>
        </w:sectPr>
      </w:pPr>
    </w:p>
    <w:p>
      <w:pPr>
        <w:pStyle w:val="2"/>
        <w:ind w:left="0" w:leftChars="0" w:firstLine="0"/>
        <w:rPr>
          <w:rFonts w:ascii="Times New Roman" w:hAnsi="Times New Roman" w:cs="Times New Roman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0" w:leftChars="0" w:firstLine="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ind w:left="440"/>
        <w:rPr>
          <w:rFonts w:ascii="Times New Roman" w:hAnsi="Times New Roman" w:eastAsia="仿宋" w:cs="Times New Roman"/>
          <w:sz w:val="32"/>
          <w:szCs w:val="32"/>
        </w:rPr>
      </w:pPr>
    </w:p>
    <w:p>
      <w:pPr>
        <w:pBdr>
          <w:top w:val="single" w:color="auto" w:sz="4" w:space="1"/>
          <w:bottom w:val="single" w:color="auto" w:sz="4" w:space="1"/>
          <w:between w:val="single" w:color="auto" w:sz="4" w:space="1"/>
        </w:pBdr>
        <w:spacing w:line="560" w:lineRule="exact"/>
        <w:ind w:left="5760" w:hanging="5760" w:hangingChars="1800"/>
        <w:rPr>
          <w:rFonts w:ascii="Times New Roman" w:hAnsi="Times New Roman" w:eastAsia="方正仿宋_GB2312" w:cs="Times New Roman"/>
          <w:sz w:val="32"/>
          <w:szCs w:val="32"/>
          <w:lang w:val="en-US"/>
        </w:rPr>
        <w:sectPr>
          <w:type w:val="continuous"/>
          <w:pgSz w:w="11910" w:h="16840"/>
          <w:pgMar w:top="2098" w:right="1474" w:bottom="1984" w:left="1587" w:header="0" w:footer="1184" w:gutter="0"/>
          <w:cols w:space="720" w:num="1"/>
        </w:sectPr>
      </w:pPr>
      <w:r>
        <w:rPr>
          <w:rFonts w:ascii="Times New Roman" w:hAnsi="Times New Roman" w:eastAsia="方正仿宋_GB2312" w:cs="Times New Roman"/>
          <w:sz w:val="32"/>
          <w:szCs w:val="32"/>
        </w:rPr>
        <w:t>中共合肥市瑶海区</w:t>
      </w:r>
      <w:r>
        <w:rPr>
          <w:rFonts w:ascii="Times New Roman" w:hAnsi="Times New Roman" w:eastAsia="方正仿宋_GB2312" w:cs="Times New Roman"/>
          <w:sz w:val="32"/>
          <w:szCs w:val="32"/>
          <w:lang w:val="en-US"/>
        </w:rPr>
        <w:t xml:space="preserve">教育体育局委员会    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/>
        </w:rPr>
        <w:t xml:space="preserve">          </w:t>
      </w:r>
      <w:r>
        <w:rPr>
          <w:rFonts w:ascii="Times New Roman" w:hAnsi="Times New Roman" w:eastAsia="方正仿宋_GB2312" w:cs="Times New Roman"/>
          <w:sz w:val="32"/>
          <w:szCs w:val="32"/>
          <w:lang w:val="en-US"/>
        </w:rPr>
        <w:t xml:space="preserve">      </w:t>
      </w:r>
      <w:r>
        <w:rPr>
          <w:rFonts w:ascii="Times New Roman" w:hAnsi="Times New Roman" w:eastAsia="方正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方正仿宋_GB2312" w:cs="Times New Roman"/>
          <w:sz w:val="32"/>
          <w:szCs w:val="32"/>
          <w:lang w:val="en-US"/>
        </w:rPr>
        <w:t>日</w:t>
      </w:r>
    </w:p>
    <w:p>
      <w:pPr>
        <w:tabs>
          <w:tab w:val="left" w:pos="804"/>
        </w:tabs>
        <w:rPr>
          <w:rFonts w:ascii="Times New Roman" w:hAnsi="Times New Roman" w:cs="Times New Roman"/>
        </w:rPr>
      </w:pPr>
    </w:p>
    <w:sectPr>
      <w:type w:val="continuous"/>
      <w:pgSz w:w="16840" w:h="11910" w:orient="landscape"/>
      <w:pgMar w:top="1587" w:right="2098" w:bottom="1474" w:left="1984" w:header="0" w:footer="11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0DE8CB-923C-4A0D-9F6A-2F38CB5477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1144B90-8223-420A-BCD9-E1EB257AB34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068E365-2B21-4060-B06B-E1F6E4CFF0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5D61713-1A9D-4CF8-8271-AC1BB0E49D5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E22E0F0-3A67-47ED-8814-3981AC2178C6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8F49EADE-98AA-42F7-B6A0-F70735BACFFA}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  <w:embedRegular r:id="rId7" w:fontKey="{8E4929B1-8923-4C86-8A56-27D5A669814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39DD79C3-5564-48E8-85FF-6B76D7AFB8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60070" cy="203835"/>
              <wp:effectExtent l="0" t="0" r="0" b="0"/>
              <wp:wrapNone/>
              <wp:docPr id="10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6.05pt;width:44.1pt;mso-position-horizontal:outside;mso-position-horizontal-relative:margin;z-index:251661312;mso-width-relative:page;mso-height-relative:page;" filled="f" stroked="f" coordsize="21600,21600" o:gfxdata="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rUBLLtMAAAADAQAADwAAAAAAAAABACAAAAAiAAAAZHJzL2Rvd25yZXYueG1sUEsBAhQA&#10;FAAAAAgAh07iQK3hCOm+AQAAgAMAAA4AAAAAAAAAAQAgAAAAI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60070" cy="203835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6.05pt;width:44.1pt;mso-position-horizontal:center;mso-position-horizontal-relative:margin;z-index:251662336;mso-width-relative:page;mso-height-relative:page;" filled="f" stroked="f" coordsize="21600,21600" o:gfxdata="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rUBLLtMAAAADAQAADwAAAAAAAAABACAAAAAiAAAAZHJzL2Rvd25yZXYueG1sUEsBAhQA&#10;FAAAAAgAh07iQCkMT0S+AQAAfwMAAA4AAAAAAAAAAQAgAAAAI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60070" cy="203835"/>
              <wp:effectExtent l="0" t="0" r="0" b="0"/>
              <wp:wrapNone/>
              <wp:docPr id="1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05pt;width:44.1pt;mso-position-horizontal:center;mso-position-horizontal-relative:margin;z-index:251663360;mso-width-relative:page;mso-height-relative:page;" filled="f" stroked="f" coordsize="21600,21600" o:gfxdata="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rUBLLtMAAAADAQAADwAAAAAAAAABACAAAAAiAAAAZHJzL2Rvd25yZXYueG1sUEsBAhQA&#10;FAAAAAgAh07iQEzmt6a+AQAAgAMAAA4AAAAAAAAAAQAgAAAAI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60070" cy="203835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6.05pt;width:44.1pt;mso-position-horizontal:center;mso-position-horizontal-relative:margin;z-index:251661312;mso-width-relative:page;mso-height-relative:page;" filled="f" stroked="f" coordsize="21600,21600" o:gfxdata="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rUBLLtMAAAADAQAADwAAAAAAAAABACAAAAAiAAAAZHJzL2Rvd25yZXYueG1sUEsBAhQA&#10;FAAAAAgAh07iQPC8RVK+AQAAfwMAAA4AAAAAAAAAAQAgAAAAI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60070" cy="203835"/>
              <wp:effectExtent l="0" t="0" r="0" b="0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05pt;width:44.1pt;mso-position-horizontal:center;mso-position-horizontal-relative:margin;z-index:251662336;mso-width-relative:page;mso-height-relative:page;" filled="f" stroked="f" coordsize="21600,21600" o:gfxdata="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tQEsu0wAAAAMBAAAPAAAAAAAAAAEAIAAAACIAAABkcnMvZG93bnJldi54bWxQSwECFAAU&#10;AAAACACHTuJAD5+Q2b0BAAB/AwAADgAAAAAAAAABACAAAAAi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720"/>
  <w:drawingGridHorizontalSpacing w:val="110"/>
  <w:drawingGridVerticalSpacing w:val="156"/>
  <w:noPunctuationKerning w:val="1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YTJhZjI4MGUxODhjNjA1MmI5MjdlMGU4NzRkMDUifQ=="/>
  </w:docVars>
  <w:rsids>
    <w:rsidRoot w:val="009E576B"/>
    <w:rsid w:val="0006767C"/>
    <w:rsid w:val="000813EC"/>
    <w:rsid w:val="0008396E"/>
    <w:rsid w:val="00110F60"/>
    <w:rsid w:val="0029614F"/>
    <w:rsid w:val="00350FF3"/>
    <w:rsid w:val="00513B6E"/>
    <w:rsid w:val="00527493"/>
    <w:rsid w:val="006564F6"/>
    <w:rsid w:val="006F5C7D"/>
    <w:rsid w:val="00772CEF"/>
    <w:rsid w:val="009136C4"/>
    <w:rsid w:val="00934F48"/>
    <w:rsid w:val="00941BA7"/>
    <w:rsid w:val="009E576B"/>
    <w:rsid w:val="00A858E1"/>
    <w:rsid w:val="00A97702"/>
    <w:rsid w:val="00AD1AED"/>
    <w:rsid w:val="00C527E9"/>
    <w:rsid w:val="00C90677"/>
    <w:rsid w:val="00CE0341"/>
    <w:rsid w:val="00D32900"/>
    <w:rsid w:val="00EB36E4"/>
    <w:rsid w:val="00F2170D"/>
    <w:rsid w:val="00F73A7C"/>
    <w:rsid w:val="02327C89"/>
    <w:rsid w:val="04B30C95"/>
    <w:rsid w:val="050264C9"/>
    <w:rsid w:val="05B2758C"/>
    <w:rsid w:val="05CA2C06"/>
    <w:rsid w:val="0B6D4294"/>
    <w:rsid w:val="120E1DB2"/>
    <w:rsid w:val="1222083B"/>
    <w:rsid w:val="12977E48"/>
    <w:rsid w:val="12D43B44"/>
    <w:rsid w:val="1BEB1F48"/>
    <w:rsid w:val="1D836831"/>
    <w:rsid w:val="212C37B8"/>
    <w:rsid w:val="25DB4458"/>
    <w:rsid w:val="27A863C9"/>
    <w:rsid w:val="29C56BF1"/>
    <w:rsid w:val="2B0412DD"/>
    <w:rsid w:val="2CDD4252"/>
    <w:rsid w:val="2F312EFD"/>
    <w:rsid w:val="2F956765"/>
    <w:rsid w:val="32DC1589"/>
    <w:rsid w:val="36C62BFA"/>
    <w:rsid w:val="3C47452B"/>
    <w:rsid w:val="3DBE0298"/>
    <w:rsid w:val="3F127948"/>
    <w:rsid w:val="40B17A1C"/>
    <w:rsid w:val="42952A9A"/>
    <w:rsid w:val="43474C27"/>
    <w:rsid w:val="4738787C"/>
    <w:rsid w:val="475B3650"/>
    <w:rsid w:val="4BBE6520"/>
    <w:rsid w:val="4D6640C3"/>
    <w:rsid w:val="4DC67423"/>
    <w:rsid w:val="4F212466"/>
    <w:rsid w:val="50C13D24"/>
    <w:rsid w:val="52210017"/>
    <w:rsid w:val="541D3002"/>
    <w:rsid w:val="557243F5"/>
    <w:rsid w:val="5AD27083"/>
    <w:rsid w:val="5F636CD3"/>
    <w:rsid w:val="606271B2"/>
    <w:rsid w:val="629D3B9F"/>
    <w:rsid w:val="661F10AC"/>
    <w:rsid w:val="66D47E98"/>
    <w:rsid w:val="68E72A6A"/>
    <w:rsid w:val="6A0E09B2"/>
    <w:rsid w:val="6E0927DD"/>
    <w:rsid w:val="71431EA2"/>
    <w:rsid w:val="71D9502B"/>
    <w:rsid w:val="74415A7B"/>
    <w:rsid w:val="74C65711"/>
    <w:rsid w:val="76432C97"/>
    <w:rsid w:val="796E4E17"/>
    <w:rsid w:val="7B0656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2"/>
      <w:sz w:val="22"/>
      <w:szCs w:val="22"/>
      <w:lang w:val="zh-CN" w:eastAsia="zh-CN" w:bidi="zh-CN"/>
    </w:rPr>
  </w:style>
  <w:style w:type="paragraph" w:styleId="5">
    <w:name w:val="heading 1"/>
    <w:basedOn w:val="1"/>
    <w:next w:val="1"/>
    <w:autoRedefine/>
    <w:qFormat/>
    <w:uiPriority w:val="1"/>
    <w:pPr>
      <w:ind w:left="281" w:right="239" w:hanging="910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firstLine="420"/>
    </w:p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6">
    <w:name w:val="annotation text"/>
    <w:basedOn w:val="1"/>
    <w:autoRedefine/>
    <w:qFormat/>
    <w:uiPriority w:val="0"/>
  </w:style>
  <w:style w:type="paragraph" w:styleId="7">
    <w:name w:val="Body Text"/>
    <w:basedOn w:val="1"/>
    <w:autoRedefine/>
    <w:qFormat/>
    <w:uiPriority w:val="1"/>
    <w:rPr>
      <w:sz w:val="32"/>
      <w:szCs w:val="32"/>
    </w:rPr>
  </w:style>
  <w:style w:type="paragraph" w:styleId="8">
    <w:name w:val="Plain Text"/>
    <w:basedOn w:val="1"/>
    <w:autoRedefine/>
    <w:qFormat/>
    <w:uiPriority w:val="0"/>
    <w:rPr>
      <w:rFonts w:ascii="宋体" w:hAnsi="Courier New" w:eastAsia="宋体" w:cs="Times New Roman"/>
      <w:sz w:val="21"/>
      <w:szCs w:val="21"/>
    </w:rPr>
  </w:style>
  <w:style w:type="paragraph" w:styleId="9">
    <w:name w:val="Body Text Indent 2"/>
    <w:basedOn w:val="1"/>
    <w:next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autoRedefine/>
    <w:qFormat/>
    <w:uiPriority w:val="0"/>
    <w:pPr>
      <w:ind w:firstLine="1840"/>
    </w:pPr>
    <w:rPr>
      <w:rFonts w:ascii="Times New Roman" w:hAnsi="Times New Roman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Table Paragraph"/>
    <w:basedOn w:val="1"/>
    <w:autoRedefine/>
    <w:qFormat/>
    <w:uiPriority w:val="1"/>
  </w:style>
  <w:style w:type="paragraph" w:styleId="17">
    <w:name w:val="List Paragraph"/>
    <w:basedOn w:val="1"/>
    <w:autoRedefine/>
    <w:qFormat/>
    <w:uiPriority w:val="1"/>
    <w:pPr>
      <w:ind w:left="306" w:right="104" w:firstLine="640"/>
      <w:jc w:val="both"/>
    </w:pPr>
  </w:style>
  <w:style w:type="table" w:customStyle="1" w:styleId="1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页眉 Char"/>
    <w:basedOn w:val="15"/>
    <w:link w:val="11"/>
    <w:autoRedefine/>
    <w:qFormat/>
    <w:uiPriority w:val="0"/>
    <w:rPr>
      <w:rFonts w:ascii="仿宋_GB2312" w:hAnsi="仿宋_GB2312" w:eastAsia="仿宋_GB2312" w:cs="仿宋_GB2312"/>
      <w:kern w:val="2"/>
      <w:sz w:val="18"/>
      <w:szCs w:val="18"/>
      <w:lang w:val="zh-CN" w:bidi="zh-CN"/>
    </w:rPr>
  </w:style>
  <w:style w:type="character" w:customStyle="1" w:styleId="20">
    <w:name w:val="页脚 Char"/>
    <w:basedOn w:val="15"/>
    <w:link w:val="10"/>
    <w:autoRedefine/>
    <w:qFormat/>
    <w:uiPriority w:val="0"/>
    <w:rPr>
      <w:rFonts w:ascii="仿宋_GB2312" w:hAnsi="仿宋_GB2312" w:eastAsia="仿宋_GB2312" w:cs="仿宋_GB2312"/>
      <w:kern w:val="2"/>
      <w:sz w:val="18"/>
      <w:szCs w:val="18"/>
      <w:lang w:val="zh-CN" w:bidi="zh-CN"/>
    </w:rPr>
  </w:style>
  <w:style w:type="paragraph" w:customStyle="1" w:styleId="21">
    <w:name w:val="修订1"/>
    <w:autoRedefine/>
    <w:hidden/>
    <w:semiHidden/>
    <w:qFormat/>
    <w:uiPriority w:val="99"/>
    <w:rPr>
      <w:rFonts w:ascii="仿宋_GB2312" w:hAnsi="仿宋_GB2312" w:eastAsia="仿宋_GB2312" w:cs="仿宋_GB2312"/>
      <w:kern w:val="2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21</Pages>
  <Words>12575</Words>
  <Characters>13076</Characters>
  <Lines>96</Lines>
  <Paragraphs>27</Paragraphs>
  <TotalTime>3</TotalTime>
  <ScaleCrop>false</ScaleCrop>
  <LinksUpToDate>false</LinksUpToDate>
  <CharactersWithSpaces>13115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2023-01-29T14:55:00Z</dcterms:created>
  <dc:creator>Administrator</dc:creator>
  <cp:lastModifiedBy>临寒</cp:lastModifiedBy>
  <cp:lastPrinted>2023-01-31T08:57:00Z</cp:lastPrinted>
  <dcterms:modified xsi:type="dcterms:W3CDTF">2024-02-21T01:18:56Z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17A91990569742E1AB1691166E16941B_13</vt:lpwstr>
  </property>
</Properties>
</file>