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E07C9">
      <w:pPr>
        <w:ind w:firstLine="660" w:firstLineChars="15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合肥市瑶海区城管局权力运行监管细则</w:t>
      </w:r>
    </w:p>
    <w:p w14:paraId="53CE59BA">
      <w:pPr>
        <w:ind w:firstLine="2310" w:firstLineChars="1100"/>
      </w:pPr>
    </w:p>
    <w:p w14:paraId="5D334999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 《合肥市人民政府关于印发合肥市政府权力清单责任清单动态调整和</w:t>
      </w:r>
      <w:r>
        <w:rPr>
          <w:rFonts w:hint="eastAsia" w:ascii="仿宋_GB2312" w:eastAsia="仿宋_GB2312"/>
          <w:sz w:val="32"/>
          <w:szCs w:val="32"/>
          <w:lang w:eastAsia="zh-CN"/>
        </w:rPr>
        <w:t>权力</w:t>
      </w:r>
      <w:r>
        <w:rPr>
          <w:rFonts w:hint="eastAsia" w:ascii="仿宋_GB2312" w:eastAsia="仿宋_GB2312"/>
          <w:sz w:val="32"/>
          <w:szCs w:val="32"/>
        </w:rPr>
        <w:t>运行监督管理办法的</w:t>
      </w:r>
      <w:r>
        <w:rPr>
          <w:rFonts w:hint="eastAsia" w:ascii="仿宋_GB2312" w:eastAsia="仿宋_GB2312"/>
          <w:sz w:val="32"/>
          <w:szCs w:val="32"/>
          <w:lang w:eastAsia="zh-CN"/>
        </w:rPr>
        <w:t>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知</w:t>
      </w:r>
      <w:r>
        <w:rPr>
          <w:rFonts w:hint="eastAsia" w:ascii="仿宋_GB2312" w:eastAsia="仿宋_GB2312"/>
          <w:sz w:val="32"/>
          <w:szCs w:val="32"/>
        </w:rPr>
        <w:t>》，为进一步规范权力运行，结合实际工作，现制定区城管局权力运行监管细则如下：</w:t>
      </w:r>
    </w:p>
    <w:p w14:paraId="72A70422">
      <w:pPr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一、行政处罚类</w:t>
      </w:r>
    </w:p>
    <w:p w14:paraId="2117FB99"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1、运行流程：</w:t>
      </w:r>
      <w:r>
        <w:rPr>
          <w:rFonts w:hint="eastAsia" w:ascii="仿宋_GB2312" w:eastAsia="仿宋_GB2312"/>
          <w:sz w:val="32"/>
          <w:szCs w:val="32"/>
        </w:rPr>
        <w:t>（1）立案阶段责任：城管部门发现责任人涉嫌违法的案件，应予审查，决定是否立案。（2）调查阶段责任：城管部门对立案的案件，指定专人负责，及时组织调查取证。与当事人有直接利害关系的应当回避。执法人员不得少于2人，调查时应出示执法证件，允许当事人陈述申辩。执法人员应保守有关秘密。（3）审查阶段责任：城管部门应当对案件违法事实、证据、调查取证程序、法律适用、处罚种类和幅度、当事人陈述和申辩理由等方面进行审查，提出处理意见，符合群众公议条件的举行公议。（4）告知阶段：城管部门在</w:t>
      </w:r>
      <w:r>
        <w:rPr>
          <w:rFonts w:hint="eastAsia" w:ascii="仿宋_GB2312" w:eastAsia="仿宋_GB2312"/>
          <w:sz w:val="32"/>
          <w:szCs w:val="32"/>
          <w:lang w:eastAsia="zh-CN"/>
        </w:rPr>
        <w:t>作出</w:t>
      </w:r>
      <w:r>
        <w:rPr>
          <w:rFonts w:hint="eastAsia" w:ascii="仿宋_GB2312" w:eastAsia="仿宋_GB2312"/>
          <w:sz w:val="32"/>
          <w:szCs w:val="32"/>
        </w:rPr>
        <w:t>行政处罚决定前，应书面告知当事人违法事实及其</w:t>
      </w:r>
      <w:r>
        <w:rPr>
          <w:rFonts w:hint="eastAsia" w:ascii="仿宋_GB2312" w:eastAsia="仿宋_GB2312"/>
          <w:sz w:val="32"/>
          <w:szCs w:val="32"/>
          <w:lang w:eastAsia="zh-CN"/>
        </w:rPr>
        <w:t>享有</w:t>
      </w:r>
      <w:r>
        <w:rPr>
          <w:rFonts w:hint="eastAsia" w:ascii="仿宋_GB2312" w:eastAsia="仿宋_GB2312"/>
          <w:sz w:val="32"/>
          <w:szCs w:val="32"/>
        </w:rPr>
        <w:t>的陈述、申辩、听证（符合听证条件的）等权利。（5）决定阶段责任：城管部门根据审理情况决定是否予以行政处罚。依法需要给予行政处罚的，应制作城市管理行政处罚决定书，载明违法事实和证据、处罚依据和内容、申请行政复议和提起行政诉讼的途径和期限等。（6）送达阶段责任：行政处罚决定书应在7日内送达当事人。（7）执行阶段责任：监督当事人在决定的期限内，履行生效的行政处罚决定。当事人在法定期限内不申请行政复议或者提起行政诉讼，又不履行的，可以依法采取加处罚款、向人民法院申请强制执行等措施。（8）其他法律法规规章文件规定应履行的责任。</w:t>
      </w:r>
    </w:p>
    <w:p w14:paraId="075DE8DF"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2、责任部门和人员：</w:t>
      </w:r>
      <w:r>
        <w:rPr>
          <w:rFonts w:hint="eastAsia" w:ascii="仿宋_GB2312" w:eastAsia="仿宋_GB2312"/>
          <w:sz w:val="32"/>
          <w:szCs w:val="32"/>
        </w:rPr>
        <w:t>区城管局主要负责人、分管负责人、法制科负责人、办案单位负责人、案件承办人。</w:t>
      </w:r>
    </w:p>
    <w:p w14:paraId="7FFAC374"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3、相对人权利及监督投诉：</w:t>
      </w:r>
      <w:r>
        <w:rPr>
          <w:rFonts w:hint="eastAsia" w:ascii="仿宋_GB2312" w:eastAsia="仿宋_GB2312"/>
          <w:sz w:val="32"/>
          <w:szCs w:val="32"/>
        </w:rPr>
        <w:t>（1）申请行政复议：可以自知道该具体行政行为之日起60日内，向作出具体行政行为机关的本级人民政府申请行政复议。（2）向人民法院起诉：不服复议决定的，可以在收到复议决定书之日起15日内向人民法院提起诉讼；应当自知道或者应当知道作出行政行为之日起6个月内，直接向人民法院提起诉讼。（3）投诉举报电话为0551-64420309</w:t>
      </w:r>
    </w:p>
    <w:p w14:paraId="7F2E154E"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二、行政许可类</w:t>
      </w:r>
    </w:p>
    <w:p w14:paraId="4DB3056B"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1、运行流程：</w:t>
      </w:r>
      <w:r>
        <w:rPr>
          <w:rFonts w:hint="eastAsia" w:ascii="仿宋_GB2312" w:eastAsia="仿宋_GB2312"/>
          <w:sz w:val="32"/>
          <w:szCs w:val="32"/>
        </w:rPr>
        <w:t>（1）受理阶段责任：公示依法应当提交的材料；一次性告知补正材料；依法受理或不予受理（不予受理的应当告知理由）。（2）审查阶段责任：依法对申报材料进行审核、提出预审意见。（3）决定阶段责任：作出同意或者不同意行政许可的决定（不同意的应当告知理由）。（4）送达阶段责任：制作并送达审批文件，信息公开。（5）事后监管责任：通过检查加强事后监管，对未办审批手续擅自张贴宣传品等行为作出处理。（6）其他法律法规规章文件规定应履行的责任。</w:t>
      </w:r>
    </w:p>
    <w:p w14:paraId="750B1724"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2、责任部门和人员：</w:t>
      </w:r>
      <w:r>
        <w:rPr>
          <w:rFonts w:hint="eastAsia" w:ascii="仿宋_GB2312" w:eastAsia="仿宋_GB2312"/>
          <w:sz w:val="32"/>
          <w:szCs w:val="32"/>
        </w:rPr>
        <w:t>区城管局主要负责人、分管负责人、行政审批科负责人、具体承办人。</w:t>
      </w:r>
    </w:p>
    <w:p w14:paraId="7C8D630A"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3、相对人权利及监督投诉：</w:t>
      </w:r>
      <w:r>
        <w:rPr>
          <w:rFonts w:hint="eastAsia" w:ascii="仿宋_GB2312" w:eastAsia="仿宋_GB2312"/>
          <w:sz w:val="32"/>
          <w:szCs w:val="32"/>
        </w:rPr>
        <w:t>（1）申请行政复议：可以自知道该具体行政行为之日起60日内，向作出具体行政行为机关的本级人民政府申请行政复议。（2）向人民法院起诉：不服复议决定的，可以在收到复议决定书之日起15日内向人民法院提起诉讼；应当自知道或者应当知道作出行政行为之日起6个月内，直接向人民法院提起诉讼。（3）投诉举报电话为0551-64420309</w:t>
      </w:r>
    </w:p>
    <w:p w14:paraId="2F928CB9"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三、行政强制类</w:t>
      </w:r>
    </w:p>
    <w:p w14:paraId="4FF9C100"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1、运行流程：</w:t>
      </w:r>
      <w:r>
        <w:rPr>
          <w:rFonts w:hint="eastAsia" w:ascii="仿宋_GB2312" w:eastAsia="仿宋_GB2312"/>
          <w:sz w:val="32"/>
          <w:szCs w:val="32"/>
        </w:rPr>
        <w:t>(1)准备阶段：实施前须向行政负责人报告并经批准（当场实施的需24小时内补办），通知当事人到场（当事人不到场的，邀请证人到场）。（2）实施阶段：出示执法证件，当场告知当事人采取行政强制措施的理由、依据以及当事人依法享有的权利、救济途径；听取当事人的陈述和申辩；制作并当场交付查封、扣押决定书和清单；制作现场笔录由当事人和行政执法人员签名或者盖章（当事人拒绝的，在笔录中予以注明）。（3）事后阶段：对查封、扣押的物品、场所依法作出解除、延长、移送、销毁、拍卖、变卖等决定并实施。（4）其他法律法规规章文件规定。</w:t>
      </w:r>
    </w:p>
    <w:p w14:paraId="6C593BB6"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2、责任部门和人员：</w:t>
      </w:r>
      <w:r>
        <w:rPr>
          <w:rFonts w:hint="eastAsia" w:ascii="仿宋_GB2312" w:eastAsia="仿宋_GB2312"/>
          <w:sz w:val="32"/>
          <w:szCs w:val="32"/>
        </w:rPr>
        <w:t>区城管局主要负责人、分管负责人、法制科负责人、办案单位负责人、案件承办人。</w:t>
      </w:r>
    </w:p>
    <w:p w14:paraId="7E1B58A3"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3、相对人权利及监督投诉：</w:t>
      </w:r>
      <w:r>
        <w:rPr>
          <w:rFonts w:hint="eastAsia" w:ascii="仿宋_GB2312" w:eastAsia="仿宋_GB2312"/>
          <w:sz w:val="32"/>
          <w:szCs w:val="32"/>
        </w:rPr>
        <w:t>（1）申请行政复议：可以自知道该具体行政行为之日起60日内，向作出具体行政行为机关的本级人民政府申请行政复议。（2）向人民法院起诉：不服复议决定的，可以在收到复议决定书之日起15日内向人民法院提起诉讼；应当自知道或者应当知道作出行政行为之日起6个月内，直接向人民法院提起诉讼。（3）投诉举报电话为0551-64420309</w:t>
      </w:r>
    </w:p>
    <w:p w14:paraId="00058568"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四、</w:t>
      </w: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其他权利类</w:t>
      </w:r>
    </w:p>
    <w:p w14:paraId="2C7CAF05"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1、运行流程：</w:t>
      </w:r>
      <w:r>
        <w:rPr>
          <w:rFonts w:hint="eastAsia" w:ascii="仿宋_GB2312" w:eastAsia="仿宋_GB2312"/>
          <w:sz w:val="32"/>
          <w:szCs w:val="32"/>
        </w:rPr>
        <w:t>（1）在办理时，应对申报材料是否符合要求进行审查。（2）应在规定的时限内提出要求。         （3）应当加强事后监管，对不符合要求的，及时提出整改意见。</w:t>
      </w:r>
    </w:p>
    <w:p w14:paraId="2AD75366"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2、责任部门和人员：</w:t>
      </w:r>
      <w:r>
        <w:rPr>
          <w:rFonts w:hint="eastAsia" w:ascii="仿宋_GB2312" w:eastAsia="仿宋_GB2312"/>
          <w:sz w:val="32"/>
          <w:szCs w:val="32"/>
        </w:rPr>
        <w:t>区城管局主要负责人、分管负责人、相关科室负责人、具体承办人</w:t>
      </w:r>
    </w:p>
    <w:p w14:paraId="77503CC5"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3、相对人权利及监督投诉：</w:t>
      </w:r>
      <w:r>
        <w:rPr>
          <w:rFonts w:hint="eastAsia" w:ascii="仿宋_GB2312" w:eastAsia="仿宋_GB2312"/>
          <w:sz w:val="32"/>
          <w:szCs w:val="32"/>
        </w:rPr>
        <w:t>（1）申请行政复议：可以自知道该具体行政行为之日起60日内，向作出具体行政行为机关的本级人民政府申请行政复议。（2）向人民法院起诉：不服复议决定的，可以在收到复议决定书之日起15日内向人民法院提起诉讼；应当自知道或者应当知道作出行政行为之日起6个月内，直接向人民法院提起诉讼。（3）投诉举报电话为0551-64420309</w:t>
      </w:r>
    </w:p>
    <w:p w14:paraId="3479A25E">
      <w:pPr>
        <w:rPr>
          <w:rFonts w:ascii="仿宋_GB2312" w:eastAsia="仿宋_GB2312"/>
          <w:sz w:val="32"/>
          <w:szCs w:val="32"/>
        </w:rPr>
      </w:pPr>
    </w:p>
    <w:p w14:paraId="51E245A8"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70"/>
    <w:rsid w:val="000558AA"/>
    <w:rsid w:val="000800FC"/>
    <w:rsid w:val="001A3945"/>
    <w:rsid w:val="002328F8"/>
    <w:rsid w:val="00265380"/>
    <w:rsid w:val="00272B4F"/>
    <w:rsid w:val="003C286C"/>
    <w:rsid w:val="004507DF"/>
    <w:rsid w:val="004F4A39"/>
    <w:rsid w:val="00634B22"/>
    <w:rsid w:val="008D3A83"/>
    <w:rsid w:val="00BB2C16"/>
    <w:rsid w:val="00CE6657"/>
    <w:rsid w:val="00DC57D8"/>
    <w:rsid w:val="00E5096B"/>
    <w:rsid w:val="00EC1970"/>
    <w:rsid w:val="029321C1"/>
    <w:rsid w:val="27FA0805"/>
    <w:rsid w:val="41BA336E"/>
    <w:rsid w:val="7A24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9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2"/>
    <w:qFormat/>
    <w:uiPriority w:val="0"/>
    <w:rPr>
      <w:sz w:val="18"/>
      <w:szCs w:val="18"/>
    </w:rPr>
  </w:style>
  <w:style w:type="paragraph" w:styleId="5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2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10">
    <w:name w:val="font7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51"/>
    <w:basedOn w:val="9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12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41"/>
    <w:basedOn w:val="9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paragraph" w:customStyle="1" w:styleId="14">
    <w:name w:val="lawdetail__tiaodetail-f25gpl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</w:rPr>
  </w:style>
  <w:style w:type="character" w:customStyle="1" w:styleId="15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6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7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18">
    <w:name w:val="标题 1 Char"/>
    <w:basedOn w:val="9"/>
    <w:link w:val="2"/>
    <w:uiPriority w:val="0"/>
    <w:rPr>
      <w:b/>
      <w:kern w:val="44"/>
      <w:sz w:val="44"/>
      <w:szCs w:val="24"/>
    </w:rPr>
  </w:style>
  <w:style w:type="character" w:customStyle="1" w:styleId="19">
    <w:name w:val="标题 2 Char"/>
    <w:basedOn w:val="9"/>
    <w:link w:val="3"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20">
    <w:name w:val="页眉 Char"/>
    <w:basedOn w:val="9"/>
    <w:link w:val="6"/>
    <w:uiPriority w:val="0"/>
    <w:rPr>
      <w:kern w:val="2"/>
      <w:sz w:val="18"/>
      <w:szCs w:val="24"/>
    </w:rPr>
  </w:style>
  <w:style w:type="character" w:customStyle="1" w:styleId="21">
    <w:name w:val="页脚 Char"/>
    <w:basedOn w:val="9"/>
    <w:link w:val="5"/>
    <w:uiPriority w:val="0"/>
    <w:rPr>
      <w:kern w:val="2"/>
      <w:sz w:val="18"/>
      <w:szCs w:val="24"/>
    </w:rPr>
  </w:style>
  <w:style w:type="character" w:customStyle="1" w:styleId="22">
    <w:name w:val="批注框文本 Char"/>
    <w:basedOn w:val="9"/>
    <w:link w:val="4"/>
    <w:qFormat/>
    <w:uiPriority w:val="0"/>
    <w:rPr>
      <w:kern w:val="2"/>
      <w:sz w:val="18"/>
      <w:szCs w:val="18"/>
    </w:rPr>
  </w:style>
  <w:style w:type="paragraph" w:styleId="23">
    <w:name w:val="List Paragraph"/>
    <w:basedOn w:val="1"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5</Pages>
  <Words>2422</Words>
  <Characters>2495</Characters>
  <Lines>17</Lines>
  <Paragraphs>5</Paragraphs>
  <TotalTime>49</TotalTime>
  <ScaleCrop>false</ScaleCrop>
  <LinksUpToDate>false</LinksUpToDate>
  <CharactersWithSpaces>2505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2024-03-07T08:59:00Z</dcterms:created>
  <dc:creator>China</dc:creator>
  <cp:lastModifiedBy>宝树</cp:lastModifiedBy>
  <dcterms:modified xsi:type="dcterms:W3CDTF">2026-02-27T00:37:08Z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eyJoZGlkIjoiMjM4NTdkYzg0MTE2NjRkMDFkMzA1NGVjODVkZGQyMjIiLCJ1c2VySWQiOiIzMDQ3NzU0NjgifQ==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82B55A1874804B17BAA6195B59717AF2_12</vt:lpwstr>
  </property>
</Properties>
</file>