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5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瑶海区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城市管理工作要点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（征求意见稿）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2025年是“十四五”收官之年，也是“十五五”谋划之年，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瑶海城管系统要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坚持以习近平新时代中国特色社会主义思想为指导，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全面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贯彻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落实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党的二十大和二十届二中、三中全会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精神，深入学习贯彻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习近平总书记考察安徽重要讲话精神，以“三大行动”为抓手，加快推动环卫提质增效、街面环境整洁有序，突出抓好安全和生态环保重点任务，深入推进城管领域重点工作，为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加快建设“五大瑶海”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，奋力谱写中国式现代化瑶海篇章贡献城管智慧和力量。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现就2025年城市管理工作具体分工如下：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firstLine="620" w:firstLineChars="200"/>
        <w:jc w:val="left"/>
        <w:textAlignment w:val="auto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一、坚持党建统领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筑牢战斗堡垒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1.坚持政治引领。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深入学习贯彻习近平总书记关于党的建设的重要思想，认真贯彻落实全国、全省及全市组织工作会议精神，发挥党建引领作用，树牢大抓基层导向，改进工作作风，补强短板弱项，开展系列活动，挖掘典型人物，塑造支部品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2.守稳意识形态阵地。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健全完善意识形态工作领导体制和工作机制，落实“一岗双责”要求。做好网络舆情监测工作，及时研判、处置、反馈舆情，提高全系统舆情应对能力。立足主流媒体城管专题专栏、网站、政务新媒体宣传平台，开展专题宣传，做好政务信息上报，全面提升央级、省级主流媒体发稿数量和质量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3.做好党风廉政建设。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通过专题学习、实地参观等方式，强化党员干部的理想信念和宗旨意识。加强党内监督，发挥内部审计作用，做好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“小微权利监督一点通”回复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，确保各项制度执行到位。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firstLine="620" w:firstLineChars="20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推进深度保洁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提高路面品质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4.开展垃圾桶占道整治。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及时调整收运点位和收运时间，减少垃圾桶路面留置时间。同时做好全区53个商业综合体物业管理区域、17个菜市场垃圾桶摆放、收运工作。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5.强化道路深度保洁成效。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推行机械清洗＋机械洗扫＋巡回保洁，持续推进督办单制度，压实各街镇开发区城管网格员责任，利用督办单形式，发现环卫问题及时协调解决。加强城市空地（待建工地、拆迁区域）、高铁沿线裸露垃圾排查整治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6.持续推进垃圾分类工作。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传达落实《合肥市垃圾分类管理条例实施细则》的新内容，分层分类管理，全区40个示范小区保持高标准严要求，物业管理小区督导员在岗履责，无物业管理小区站点内外环境整洁无异味、设施设备完好。厨余提质增量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抓住周谷堆、大型商超、生鲜超市、菜市场等厨余大户应收尽收。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firstLine="620" w:firstLineChars="200"/>
        <w:jc w:val="left"/>
        <w:textAlignment w:val="auto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三、加强市容管理 提升立面颜值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7.推进户外广告招牌排查整治。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全区楼顶广告招牌进行全面梳理，敢啃硬骨头，力争2025年底全区楼顶广告招牌拆除完毕，消除“头顶”安全隐患。配合做好小散工程和零星作业安全纳管工作，确保我区范围内广告招牌领域小散工程和零星作业“零隐患”、“零事故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Tahom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8.持续开展“牛皮癣”、乱张贴整治工作。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对主次干道、主要交通路口、地铁出入口周边、公共停车场等重点区域、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反复区域加强日常巡查管控，发现违法违规行为及时制止查处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Arial" w:eastAsia="仿宋_GB2312" w:cs="Arial"/>
          <w:b w:val="0"/>
          <w:bCs w:val="0"/>
          <w:kern w:val="2"/>
          <w:sz w:val="32"/>
          <w:szCs w:val="32"/>
          <w:lang w:val="en-US" w:eastAsia="zh-CN" w:bidi="ar-SA"/>
        </w:rPr>
        <w:t>确保立面管理水平再上新台阶，让市容环境秩序持续改观。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firstLine="620" w:firstLineChars="200"/>
        <w:jc w:val="left"/>
        <w:textAlignment w:val="auto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四、规范停车管理 优化街面秩序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9.着力缓解停车难题。</w:t>
      </w:r>
      <w:r>
        <w:rPr>
          <w:rFonts w:hint="eastAsia" w:ascii="仿宋_GB2312" w:hAnsi="仿宋" w:eastAsia="仿宋_GB2312" w:cs="Times New Roman"/>
          <w:b w:val="0"/>
          <w:bCs w:val="0"/>
          <w:sz w:val="32"/>
          <w:szCs w:val="32"/>
          <w:lang w:val="en-US" w:eastAsia="zh-CN"/>
        </w:rPr>
        <w:t>充分挖掘停车资源，推行“错时开放”政策。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稳步推进党政机关、企事业单位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、居民小区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停车场对外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开放共享，</w:t>
      </w:r>
      <w:r>
        <w:rPr>
          <w:rFonts w:hint="eastAsia" w:ascii="仿宋_GB2312" w:eastAsia="仿宋_GB2312"/>
          <w:sz w:val="32"/>
          <w:szCs w:val="32"/>
        </w:rPr>
        <w:t>新增共享停车位200处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10.强化共享单车管理。</w:t>
      </w:r>
      <w:r>
        <w:rPr>
          <w:rFonts w:hint="eastAsia" w:ascii="仿宋_GB2312" w:hAnsi="仿宋" w:eastAsia="仿宋_GB2312" w:cs="Times New Roman"/>
          <w:b w:val="0"/>
          <w:bCs w:val="0"/>
          <w:sz w:val="32"/>
          <w:szCs w:val="32"/>
          <w:lang w:val="en-US" w:eastAsia="zh-CN"/>
        </w:rPr>
        <w:t>将13个街镇重点路段包片管理，施划停车区域850处。</w:t>
      </w:r>
      <w:r>
        <w:rPr>
          <w:rFonts w:hint="eastAsia" w:ascii="仿宋_GB2312" w:eastAsia="仿宋_GB2312"/>
          <w:sz w:val="32"/>
          <w:szCs w:val="32"/>
        </w:rPr>
        <w:t>督促共享单车企业配齐运维人员</w:t>
      </w:r>
      <w:r>
        <w:rPr>
          <w:rFonts w:hint="eastAsia" w:ascii="仿宋_GB2312" w:eastAsia="仿宋_GB2312"/>
          <w:sz w:val="32"/>
          <w:szCs w:val="32"/>
          <w:lang w:eastAsia="zh-CN"/>
        </w:rPr>
        <w:t>力量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hAnsi="仿宋" w:eastAsia="仿宋_GB2312" w:cs="Times New Roman"/>
          <w:b w:val="0"/>
          <w:bCs w:val="0"/>
          <w:sz w:val="32"/>
          <w:szCs w:val="32"/>
          <w:lang w:val="en-US" w:eastAsia="zh-CN"/>
        </w:rPr>
        <w:t>进行旧车置换1500辆。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11.规范摊点管理。</w:t>
      </w:r>
      <w:r>
        <w:rPr>
          <w:rFonts w:hint="eastAsia" w:ascii="仿宋_GB2312" w:hAnsi="仿宋_GB2312" w:eastAsia="仿宋_GB2312" w:cs="仿宋_GB2312"/>
          <w:b w:val="0"/>
          <w:bCs w:val="0"/>
          <w:kern w:val="21"/>
          <w:sz w:val="32"/>
          <w:szCs w:val="32"/>
          <w:lang w:val="en-US" w:eastAsia="zh-CN" w:bidi="ar-SA"/>
        </w:rPr>
        <w:t>加大宣传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引导，做好舆情风险防范。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对流动摊点多发区、城区交界处、校园周边等，加大巡查频次，采取车巡、定岗等多种方式，强化薄弱时段管控。加大联合执法频次和力度，对规范摊点管理中屡教不改的，依法实施处罚。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1"/>
          <w:sz w:val="32"/>
          <w:szCs w:val="32"/>
          <w:lang w:val="en-US" w:eastAsia="zh-CN" w:bidi="ar-SA"/>
        </w:rPr>
        <w:t>12.加强建筑垃圾管理。</w:t>
      </w:r>
      <w:r>
        <w:rPr>
          <w:rFonts w:hint="eastAsia" w:ascii="仿宋_GB2312" w:hAnsi="仿宋_GB2312" w:eastAsia="仿宋_GB2312" w:cs="仿宋_GB2312"/>
          <w:b w:val="0"/>
          <w:bCs w:val="0"/>
          <w:kern w:val="21"/>
          <w:sz w:val="32"/>
          <w:szCs w:val="32"/>
          <w:lang w:val="en-US" w:eastAsia="zh-CN" w:bidi="ar-SA"/>
        </w:rPr>
        <w:t>加大日常巡查力度，对私拉乱倒、无证运输等行为进行严厉打击。全面排查区内项目，严格对照“六个百分百”要求，确保百分百密闭运输，百分百使用新型运输车。灵活开展建筑垃圾消纳处置，提高建筑垃圾再利用率。持续跟进装修及大件垃圾处理场站技改工作，督促街镇重点盯促物业及装修单位，规范建筑装修垃圾合法处置，杜绝私自违规处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firstLine="620" w:firstLineChars="200"/>
        <w:jc w:val="left"/>
        <w:textAlignment w:val="auto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五、破解重点难点 补齐短板弱项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13、全力攻坚违法建设整治。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督促属地单位加强宣传，提高群众守法意识，从源头上减少和预防违建的发生。加快存量违法建设案件销号进度，定期开展联席会议，加强调度通报，完善跟踪机制，持续巩固治理成果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14.持续推进餐饮油烟污染整治。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根据市餐饮油烟污染问题整治工作要求，督促各街镇开发区联合市监、生态环境部门，开展多种形式宣传，营造浓厚的氛围，提高经营户环保意识和自觉性。加强区街联动，针对2024年中央环保督察交办信访件、省市环保督察件整改情况，不定期进行“回头看”，防止问题反弹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仿宋_GB2312" w:hAnsi="仿宋" w:eastAsia="仿宋_GB2312" w:cs="Times New Roman"/>
          <w:b w:val="0"/>
          <w:bCs w:val="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15.紧抓数字城管工作。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针对数字城管系统中涉及的“违法建设”、“空中飞线”、“违规广告招牌遮挡”、“建筑垃圾乱堆放”等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案件，积极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对接业务科室，严格案件处置标准，及时做好案件回复，提高结案率。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firstLine="62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六</w:t>
      </w: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、践行为民宗旨 创优服务环境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Arial" w:eastAsia="仿宋_GB2312" w:cs="Arial"/>
          <w:b/>
          <w:bCs/>
          <w:kern w:val="2"/>
          <w:sz w:val="32"/>
          <w:szCs w:val="32"/>
          <w:lang w:val="en-US" w:eastAsia="zh-CN" w:bidi="ar-SA"/>
        </w:rPr>
        <w:t>16.做好街镇赋权调整和指导。</w:t>
      </w:r>
      <w:r>
        <w:rPr>
          <w:rFonts w:hint="eastAsia" w:ascii="仿宋_GB2312" w:hAnsi="宋体" w:eastAsia="仿宋_GB2312" w:cs="宋体"/>
          <w:sz w:val="32"/>
          <w:szCs w:val="32"/>
        </w:rPr>
        <w:t>根据省市区赋权事项的调整情况，及时按要求做好我局赋权清单的调整工作，适时开展专项培训，做好对街镇日常查处的指导，同时做好案件移交受理工作，确保赋权调整工作规范有序实施。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firstLine="643" w:firstLineChars="200"/>
        <w:contextualSpacing/>
        <w:jc w:val="both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Arial" w:eastAsia="仿宋_GB2312" w:cs="Arial"/>
          <w:b/>
          <w:bCs/>
          <w:kern w:val="2"/>
          <w:sz w:val="32"/>
          <w:szCs w:val="32"/>
          <w:lang w:val="en-US" w:eastAsia="zh-CN" w:bidi="ar-SA"/>
        </w:rPr>
        <w:t>17.提高执法案件质量。</w:t>
      </w:r>
      <w:r>
        <w:rPr>
          <w:rFonts w:hint="eastAsia" w:ascii="仿宋_GB2312" w:hAnsi="宋体" w:eastAsia="仿宋_GB2312" w:cs="宋体"/>
          <w:sz w:val="32"/>
          <w:szCs w:val="32"/>
        </w:rPr>
        <w:t>在每两月开展的案卷互评互查和群众公议的基础上，通过不定期组织专项培训、</w:t>
      </w:r>
      <w:r>
        <w:rPr>
          <w:rFonts w:hint="eastAsia" w:ascii="仿宋_GB2312" w:eastAsia="仿宋_GB2312"/>
          <w:sz w:val="32"/>
          <w:szCs w:val="32"/>
        </w:rPr>
        <w:t>常态性开展法律知识和文书制作专题培训等，</w:t>
      </w:r>
      <w:r>
        <w:rPr>
          <w:rFonts w:hint="eastAsia" w:ascii="仿宋_GB2312" w:hAnsi="宋体" w:eastAsia="仿宋_GB2312" w:cs="宋体"/>
          <w:sz w:val="32"/>
          <w:szCs w:val="32"/>
        </w:rPr>
        <w:t>引导案卷制作人员抓细节、提质量，减少思维盲点和惯性漏洞，进一步提高执法案件的质量。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18.积极回应群众关切。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高效办理 12345 市长热线、区委督办件交办事项，实现“事事有回音、件件有落实”。高质量办好人大建议、政协提案，推动社会各界建言献策，广泛参与城市管理。 </w:t>
      </w:r>
    </w:p>
    <w:p>
      <w:pPr>
        <w:pStyle w:val="5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after="0" w:line="56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4"/>
        <w:ind w:firstLine="4960" w:firstLineChars="1550"/>
        <w:rPr>
          <w:rFonts w:hint="eastAsia" w:ascii="仿宋_GB2312" w:hAnsi="仿宋_GB2312" w:eastAsia="仿宋_GB2312" w:cs="仿宋_GB2312"/>
          <w:sz w:val="32"/>
          <w:szCs w:val="4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7D6248"/>
    <w:multiLevelType w:val="singleLevel"/>
    <w:tmpl w:val="A87D624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kMzZlZWZmMDFjODg0N2FhNmFkNGMyMmY1ZmU0OWUifQ=="/>
    <w:docVar w:name="KSO_WPS_MARK_KEY" w:val="bd00cbc5-dfcd-4ab0-a1b2-f3f0718284eb"/>
  </w:docVars>
  <w:rsids>
    <w:rsidRoot w:val="7FC72061"/>
    <w:rsid w:val="09CB4812"/>
    <w:rsid w:val="0F657030"/>
    <w:rsid w:val="24D25E06"/>
    <w:rsid w:val="26200A14"/>
    <w:rsid w:val="278C389C"/>
    <w:rsid w:val="330B1B3D"/>
    <w:rsid w:val="5A19426B"/>
    <w:rsid w:val="5C281CBF"/>
    <w:rsid w:val="5E3C1DC0"/>
    <w:rsid w:val="68A13DAA"/>
    <w:rsid w:val="7FC7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"/>
    </w:r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unhideWhenUsed/>
    <w:qFormat/>
    <w:uiPriority w:val="99"/>
    <w:rPr>
      <w:rFonts w:ascii="宋体" w:hAnsi="Courier New" w:cs="Courier New"/>
    </w:rPr>
  </w:style>
  <w:style w:type="paragraph" w:styleId="5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2376</Words>
  <Characters>2442</Characters>
  <Lines>0</Lines>
  <Paragraphs>0</Paragraphs>
  <TotalTime>22</TotalTime>
  <ScaleCrop>false</ScaleCrop>
  <LinksUpToDate>false</LinksUpToDate>
  <CharactersWithSpaces>2457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2025-03-12T07:41:00Z</dcterms:created>
  <dc:creator>萨瓦利卡</dc:creator>
  <cp:lastModifiedBy>轻舟</cp:lastModifiedBy>
  <dcterms:modified xsi:type="dcterms:W3CDTF">2025-04-24T08:44:57Z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746E73335328439FBFA1A821D4737692_13</vt:lpwstr>
  </property>
  <property fmtid="{D5CDD505-2E9C-101B-9397-08002B2CF9AE}" pid="4" name="KSOTemplateDocerSaveRecord">
    <vt:lpwstr>eyJoZGlkIjoiYmIwNTVlZjc5NjFlNTA2MmJiOWM3NDBkYTdjN2Q1NGIiLCJ1c2VySWQiOiIyMDg0ODk5ODcifQ==</vt:lpwstr>
  </property>
</Properties>
</file>