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1A954">
      <w:pPr>
        <w:pStyle w:val="4"/>
        <w:bidi w:val="0"/>
        <w:rPr>
          <w:rFonts w:hint="eastAsia"/>
          <w:lang w:val="en-US" w:eastAsia="zh-CN"/>
        </w:rPr>
      </w:pPr>
      <w:bookmarkStart w:id="0" w:name="_GoBack"/>
      <w:bookmarkEnd w:id="0"/>
      <w:r>
        <w:rPr>
          <w:rFonts w:hint="eastAsia"/>
          <w:lang w:val="en-US" w:eastAsia="zh-CN"/>
        </w:rPr>
        <w:t>项目一.青年创意田园社会化足球场评审标准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974"/>
        <w:gridCol w:w="4378"/>
        <w:gridCol w:w="1330"/>
      </w:tblGrid>
      <w:tr w14:paraId="35EC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top"/>
          </w:tcPr>
          <w:p w14:paraId="34772D74">
            <w:pPr>
              <w:widowControl w:val="0"/>
              <w:ind w:left="0" w:leftChars="0" w:firstLine="0" w:firstLineChars="0"/>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序号</w:t>
            </w:r>
          </w:p>
        </w:tc>
        <w:tc>
          <w:tcPr>
            <w:tcW w:w="2307" w:type="dxa"/>
            <w:noWrap w:val="0"/>
            <w:vAlign w:val="top"/>
          </w:tcPr>
          <w:p w14:paraId="433DA3A3">
            <w:pPr>
              <w:widowControl w:val="0"/>
              <w:ind w:left="0" w:leftChars="0" w:firstLine="0" w:firstLineChars="0"/>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指标</w:t>
            </w:r>
          </w:p>
        </w:tc>
        <w:tc>
          <w:tcPr>
            <w:tcW w:w="5250" w:type="dxa"/>
            <w:noWrap w:val="0"/>
            <w:vAlign w:val="top"/>
          </w:tcPr>
          <w:p w14:paraId="3102DF50">
            <w:pPr>
              <w:widowControl w:val="0"/>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指标描述</w:t>
            </w:r>
          </w:p>
        </w:tc>
        <w:tc>
          <w:tcPr>
            <w:tcW w:w="1456" w:type="dxa"/>
            <w:noWrap w:val="0"/>
            <w:vAlign w:val="top"/>
          </w:tcPr>
          <w:p w14:paraId="0275D326">
            <w:pPr>
              <w:widowControl w:val="0"/>
              <w:ind w:left="0" w:leftChars="0" w:firstLine="0" w:firstLineChars="0"/>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分值范围</w:t>
            </w:r>
          </w:p>
        </w:tc>
      </w:tr>
      <w:tr w14:paraId="6622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11403F7B">
            <w:pPr>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1</w:t>
            </w:r>
          </w:p>
        </w:tc>
        <w:tc>
          <w:tcPr>
            <w:tcW w:w="2307" w:type="dxa"/>
            <w:noWrap w:val="0"/>
            <w:vAlign w:val="center"/>
          </w:tcPr>
          <w:p w14:paraId="7C1E23E5">
            <w:pPr>
              <w:keepNext w:val="0"/>
              <w:keepLines w:val="0"/>
              <w:widowControl/>
              <w:suppressLineNumbers w:val="0"/>
              <w:ind w:left="0" w:leftChars="0" w:firstLine="0" w:firstLineChars="0"/>
              <w:jc w:val="center"/>
              <w:rPr>
                <w:vertAlign w:val="baseline"/>
              </w:rPr>
            </w:pPr>
            <w:r>
              <w:rPr>
                <w:rFonts w:hint="eastAsia" w:ascii="宋体" w:hAnsi="宋体" w:eastAsia="宋体" w:cs="宋体"/>
                <w:color w:val="000000"/>
                <w:kern w:val="0"/>
                <w:sz w:val="24"/>
                <w:szCs w:val="24"/>
                <w:lang w:val="en-US" w:eastAsia="zh-CN" w:bidi="ar"/>
              </w:rPr>
              <w:t>体育场馆运营业绩</w:t>
            </w:r>
          </w:p>
        </w:tc>
        <w:tc>
          <w:tcPr>
            <w:tcW w:w="5250" w:type="dxa"/>
            <w:noWrap w:val="0"/>
            <w:vAlign w:val="top"/>
          </w:tcPr>
          <w:p w14:paraId="682F9BEC">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2022年 1 月 1 日以来（以合同签订时间为准），投标人具有单个合同总建筑面积不少于 3 000 平方米的公共体育场馆运营业绩每个得 10 分。本项满分 10分。</w:t>
            </w:r>
          </w:p>
          <w:p w14:paraId="29879EBB">
            <w:pPr>
              <w:keepNext w:val="0"/>
              <w:keepLines w:val="0"/>
              <w:widowControl/>
              <w:suppressLineNumbers w:val="0"/>
              <w:jc w:val="left"/>
              <w:rPr>
                <w:rFonts w:hint="default"/>
                <w:lang w:val="en-US"/>
              </w:rPr>
            </w:pPr>
            <w:r>
              <w:rPr>
                <w:rFonts w:hint="eastAsia" w:ascii="宋体" w:hAnsi="宋体" w:eastAsia="宋体" w:cs="宋体"/>
                <w:b/>
                <w:bCs/>
                <w:color w:val="000000"/>
                <w:kern w:val="0"/>
                <w:sz w:val="24"/>
                <w:szCs w:val="24"/>
                <w:lang w:val="en-US" w:eastAsia="zh-CN" w:bidi="ar"/>
              </w:rPr>
              <w:t>注：提供合同扫描件。</w:t>
            </w:r>
          </w:p>
        </w:tc>
        <w:tc>
          <w:tcPr>
            <w:tcW w:w="1456" w:type="dxa"/>
            <w:noWrap w:val="0"/>
            <w:vAlign w:val="center"/>
          </w:tcPr>
          <w:p w14:paraId="5D547EC5">
            <w:pPr>
              <w:widowControl w:val="0"/>
              <w:jc w:val="both"/>
              <w:rPr>
                <w:rFonts w:hint="default" w:eastAsia="宋体"/>
                <w:vertAlign w:val="baseline"/>
                <w:lang w:val="en-US" w:eastAsia="zh-CN"/>
              </w:rPr>
            </w:pPr>
            <w:r>
              <w:rPr>
                <w:rFonts w:hint="eastAsia"/>
                <w:vertAlign w:val="baseline"/>
                <w:lang w:val="en-US" w:eastAsia="zh-CN"/>
              </w:rPr>
              <w:t>10</w:t>
            </w:r>
          </w:p>
        </w:tc>
      </w:tr>
      <w:tr w14:paraId="1DC1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6BAE3875">
            <w:pPr>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2</w:t>
            </w:r>
          </w:p>
        </w:tc>
        <w:tc>
          <w:tcPr>
            <w:tcW w:w="2307" w:type="dxa"/>
            <w:noWrap w:val="0"/>
            <w:vAlign w:val="center"/>
          </w:tcPr>
          <w:p w14:paraId="4A3819B2">
            <w:pPr>
              <w:keepNext w:val="0"/>
              <w:keepLines w:val="0"/>
              <w:widowControl/>
              <w:suppressLineNumbers w:val="0"/>
              <w:ind w:left="0" w:leftChars="0" w:firstLine="0" w:firstLineChars="0"/>
              <w:jc w:val="center"/>
              <w:rPr>
                <w:vertAlign w:val="baseline"/>
              </w:rPr>
            </w:pPr>
            <w:r>
              <w:rPr>
                <w:rFonts w:hint="eastAsia" w:ascii="宋体" w:hAnsi="宋体" w:eastAsia="宋体" w:cs="宋体"/>
                <w:color w:val="000000"/>
                <w:kern w:val="0"/>
                <w:sz w:val="24"/>
                <w:szCs w:val="24"/>
                <w:lang w:val="en-US" w:eastAsia="zh-CN" w:bidi="ar"/>
              </w:rPr>
              <w:t>体育赛事参与经验</w:t>
            </w:r>
          </w:p>
        </w:tc>
        <w:tc>
          <w:tcPr>
            <w:tcW w:w="5250" w:type="dxa"/>
            <w:noWrap w:val="0"/>
            <w:vAlign w:val="top"/>
          </w:tcPr>
          <w:p w14:paraId="3262AFCD">
            <w:pPr>
              <w:keepNext w:val="0"/>
              <w:keepLines w:val="0"/>
              <w:widowControl/>
              <w:suppressLineNumbers w:val="0"/>
              <w:jc w:val="left"/>
            </w:pPr>
            <w:r>
              <w:rPr>
                <w:rFonts w:hint="eastAsia" w:ascii="宋体" w:hAnsi="宋体" w:eastAsia="宋体" w:cs="宋体"/>
                <w:color w:val="000000"/>
                <w:kern w:val="0"/>
                <w:sz w:val="24"/>
                <w:szCs w:val="24"/>
                <w:lang w:val="en-US" w:eastAsia="zh-CN" w:bidi="ar"/>
              </w:rPr>
              <w:t>2022 年 1 月 1 日以来（以实际开赛时间为准），投标人具有体育赛事参与经验（主办、协办或承办）的，每个得 10 分，本项满分 10 分。</w:t>
            </w:r>
          </w:p>
          <w:p w14:paraId="272A175C">
            <w:pPr>
              <w:widowControl w:val="0"/>
              <w:jc w:val="both"/>
              <w:rPr>
                <w:vertAlign w:val="baseline"/>
              </w:rPr>
            </w:pPr>
            <w:r>
              <w:rPr>
                <w:rFonts w:hint="eastAsia" w:ascii="宋体" w:hAnsi="宋体" w:eastAsia="宋体" w:cs="宋体"/>
                <w:b/>
                <w:bCs/>
                <w:color w:val="000000"/>
                <w:kern w:val="0"/>
                <w:sz w:val="24"/>
                <w:szCs w:val="24"/>
                <w:lang w:val="en-US" w:eastAsia="zh-CN" w:bidi="ar"/>
              </w:rPr>
              <w:t>注：提供合同扫描件。</w:t>
            </w:r>
          </w:p>
        </w:tc>
        <w:tc>
          <w:tcPr>
            <w:tcW w:w="1456" w:type="dxa"/>
            <w:noWrap w:val="0"/>
            <w:vAlign w:val="center"/>
          </w:tcPr>
          <w:p w14:paraId="462F16E8">
            <w:pPr>
              <w:widowControl w:val="0"/>
              <w:jc w:val="both"/>
              <w:rPr>
                <w:rFonts w:hint="default" w:eastAsia="宋体"/>
                <w:vertAlign w:val="baseline"/>
                <w:lang w:val="en-US" w:eastAsia="zh-CN"/>
              </w:rPr>
            </w:pPr>
            <w:r>
              <w:rPr>
                <w:rFonts w:hint="eastAsia"/>
                <w:vertAlign w:val="baseline"/>
                <w:lang w:val="en-US" w:eastAsia="zh-CN"/>
              </w:rPr>
              <w:t>10</w:t>
            </w:r>
          </w:p>
        </w:tc>
      </w:tr>
      <w:tr w14:paraId="73C2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46697910">
            <w:pPr>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3</w:t>
            </w:r>
          </w:p>
        </w:tc>
        <w:tc>
          <w:tcPr>
            <w:tcW w:w="2307" w:type="dxa"/>
            <w:noWrap w:val="0"/>
            <w:vAlign w:val="center"/>
          </w:tcPr>
          <w:p w14:paraId="6357855F">
            <w:pPr>
              <w:keepNext w:val="0"/>
              <w:keepLines w:val="0"/>
              <w:widowControl/>
              <w:suppressLineNumbers w:val="0"/>
              <w:ind w:left="0" w:leftChars="0" w:firstLine="0" w:firstLineChars="0"/>
              <w:jc w:val="center"/>
            </w:pPr>
            <w:r>
              <w:rPr>
                <w:rFonts w:hint="eastAsia" w:ascii="宋体" w:hAnsi="宋体" w:eastAsia="宋体" w:cs="宋体"/>
                <w:color w:val="000000"/>
                <w:kern w:val="0"/>
                <w:sz w:val="24"/>
                <w:szCs w:val="24"/>
                <w:lang w:val="en-US" w:eastAsia="zh-CN" w:bidi="ar"/>
              </w:rPr>
              <w:t>拟派团队人员资格</w:t>
            </w:r>
          </w:p>
          <w:p w14:paraId="3C9113DE">
            <w:pPr>
              <w:widowControl w:val="0"/>
              <w:ind w:left="0" w:leftChars="0" w:firstLine="0" w:firstLineChars="0"/>
              <w:jc w:val="center"/>
              <w:rPr>
                <w:vertAlign w:val="baseline"/>
              </w:rPr>
            </w:pPr>
          </w:p>
        </w:tc>
        <w:tc>
          <w:tcPr>
            <w:tcW w:w="5250" w:type="dxa"/>
            <w:noWrap w:val="0"/>
            <w:vAlign w:val="top"/>
          </w:tcPr>
          <w:p w14:paraId="7A08FE6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投标人拟派项目运营负责人或团队其他员： </w:t>
            </w:r>
          </w:p>
          <w:p w14:paraId="6C63B38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投标人拟为本项目配备的运营管理团队具有体育主管部门或国内依法登记注册的体育协会颁发的： </w:t>
            </w:r>
          </w:p>
          <w:p w14:paraId="344EC989">
            <w:pPr>
              <w:keepNext w:val="0"/>
              <w:keepLines w:val="0"/>
              <w:widowControl/>
              <w:suppressLineNumbers w:val="0"/>
              <w:jc w:val="left"/>
              <w:rPr>
                <w:rFonts w:hint="default"/>
                <w:lang w:val="en-US"/>
              </w:rPr>
            </w:pPr>
            <w:r>
              <w:rPr>
                <w:rFonts w:hint="eastAsia" w:ascii="宋体" w:hAnsi="宋体" w:eastAsia="宋体" w:cs="宋体"/>
                <w:color w:val="000000"/>
                <w:kern w:val="0"/>
                <w:sz w:val="24"/>
                <w:szCs w:val="24"/>
                <w:lang w:val="en-US" w:eastAsia="zh-CN" w:bidi="ar"/>
              </w:rPr>
              <w:t>（1）C级教练员证书的，得2分,最多得4分。</w:t>
            </w:r>
          </w:p>
          <w:p w14:paraId="1D1F25EB">
            <w:pPr>
              <w:keepNext w:val="0"/>
              <w:keepLines w:val="0"/>
              <w:widowControl/>
              <w:suppressLineNumbers w:val="0"/>
              <w:jc w:val="left"/>
            </w:pPr>
            <w:r>
              <w:rPr>
                <w:rFonts w:hint="eastAsia" w:ascii="宋体" w:hAnsi="宋体" w:eastAsia="宋体" w:cs="宋体"/>
                <w:color w:val="000000"/>
                <w:kern w:val="0"/>
                <w:sz w:val="24"/>
                <w:szCs w:val="24"/>
                <w:lang w:val="en-US" w:eastAsia="zh-CN" w:bidi="ar"/>
              </w:rPr>
              <w:t>（2）B级教练员证书的，得</w:t>
            </w:r>
            <w:r>
              <w:rPr>
                <w:rFonts w:hint="eastAsia"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分,最多得</w:t>
            </w:r>
            <w:r>
              <w:rPr>
                <w:rFonts w:hint="eastAsia"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分。</w:t>
            </w:r>
          </w:p>
          <w:p w14:paraId="4B8FA216">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eastAsia"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w:t>
            </w:r>
            <w:r>
              <w:rPr>
                <w:rFonts w:hint="eastAsia" w:cs="宋体"/>
                <w:color w:val="000000"/>
                <w:kern w:val="0"/>
                <w:sz w:val="24"/>
                <w:szCs w:val="24"/>
                <w:lang w:val="en-US" w:eastAsia="zh-CN" w:bidi="ar"/>
              </w:rPr>
              <w:t>A</w:t>
            </w:r>
            <w:r>
              <w:rPr>
                <w:rFonts w:hint="eastAsia" w:ascii="宋体" w:hAnsi="宋体" w:eastAsia="宋体" w:cs="宋体"/>
                <w:color w:val="000000"/>
                <w:kern w:val="0"/>
                <w:sz w:val="24"/>
                <w:szCs w:val="24"/>
                <w:lang w:val="en-US" w:eastAsia="zh-CN" w:bidi="ar"/>
              </w:rPr>
              <w:t>级教练员证书的，得5 分</w:t>
            </w:r>
            <w:r>
              <w:rPr>
                <w:rFonts w:hint="eastAsia"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最多得</w:t>
            </w:r>
            <w:r>
              <w:rPr>
                <w:rFonts w:hint="eastAsia"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分</w:t>
            </w:r>
          </w:p>
          <w:p w14:paraId="21A90B16">
            <w:pPr>
              <w:widowControl w:val="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本项满分 </w:t>
            </w:r>
            <w:r>
              <w:rPr>
                <w:rFonts w:hint="eastAsia" w:cs="宋体"/>
                <w:color w:val="000000"/>
                <w:kern w:val="0"/>
                <w:sz w:val="24"/>
                <w:szCs w:val="24"/>
                <w:lang w:val="en-US" w:eastAsia="zh-CN" w:bidi="ar"/>
              </w:rPr>
              <w:t>20</w:t>
            </w:r>
            <w:r>
              <w:rPr>
                <w:rFonts w:hint="eastAsia" w:ascii="宋体" w:hAnsi="宋体" w:eastAsia="宋体" w:cs="宋体"/>
                <w:color w:val="000000"/>
                <w:kern w:val="0"/>
                <w:sz w:val="24"/>
                <w:szCs w:val="24"/>
                <w:lang w:val="en-US" w:eastAsia="zh-CN" w:bidi="ar"/>
              </w:rPr>
              <w:t>分。</w:t>
            </w:r>
          </w:p>
          <w:p w14:paraId="27E5AC99">
            <w:pPr>
              <w:pStyle w:val="2"/>
              <w:widowControl w:val="0"/>
              <w:jc w:val="both"/>
            </w:pPr>
            <w:r>
              <w:rPr>
                <w:rFonts w:hint="eastAsia" w:ascii="宋体" w:hAnsi="宋体" w:eastAsia="宋体" w:cs="宋体"/>
                <w:b/>
                <w:bCs/>
                <w:color w:val="000000"/>
                <w:kern w:val="0"/>
                <w:sz w:val="24"/>
                <w:szCs w:val="24"/>
                <w:lang w:val="en-US" w:eastAsia="zh-CN" w:bidi="ar"/>
              </w:rPr>
              <w:t>注：提供</w:t>
            </w:r>
            <w:r>
              <w:rPr>
                <w:rFonts w:hint="eastAsia" w:cs="宋体"/>
                <w:b/>
                <w:bCs/>
                <w:color w:val="000000"/>
                <w:kern w:val="0"/>
                <w:sz w:val="24"/>
                <w:szCs w:val="24"/>
                <w:lang w:val="en-US" w:eastAsia="zh-CN" w:bidi="ar"/>
              </w:rPr>
              <w:t>相关证书</w:t>
            </w:r>
            <w:r>
              <w:rPr>
                <w:rFonts w:hint="eastAsia" w:ascii="宋体" w:hAnsi="宋体" w:eastAsia="宋体" w:cs="宋体"/>
                <w:b/>
                <w:bCs/>
                <w:color w:val="000000"/>
                <w:kern w:val="0"/>
                <w:sz w:val="24"/>
                <w:szCs w:val="24"/>
                <w:lang w:val="en-US" w:eastAsia="zh-CN" w:bidi="ar"/>
              </w:rPr>
              <w:t>扫描件。</w:t>
            </w:r>
          </w:p>
        </w:tc>
        <w:tc>
          <w:tcPr>
            <w:tcW w:w="1456" w:type="dxa"/>
            <w:noWrap w:val="0"/>
            <w:vAlign w:val="center"/>
          </w:tcPr>
          <w:p w14:paraId="30789202">
            <w:pPr>
              <w:widowControl w:val="0"/>
              <w:jc w:val="both"/>
              <w:rPr>
                <w:rFonts w:hint="default" w:eastAsia="宋体"/>
                <w:vertAlign w:val="baseline"/>
                <w:lang w:val="en-US" w:eastAsia="zh-CN"/>
              </w:rPr>
            </w:pPr>
            <w:r>
              <w:rPr>
                <w:rFonts w:hint="eastAsia"/>
                <w:vertAlign w:val="baseline"/>
                <w:lang w:val="en-US" w:eastAsia="zh-CN"/>
              </w:rPr>
              <w:t>20</w:t>
            </w:r>
          </w:p>
        </w:tc>
      </w:tr>
      <w:tr w14:paraId="69A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4A8C68EA">
            <w:pPr>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4</w:t>
            </w:r>
          </w:p>
        </w:tc>
        <w:tc>
          <w:tcPr>
            <w:tcW w:w="2307" w:type="dxa"/>
            <w:noWrap w:val="0"/>
            <w:vAlign w:val="center"/>
          </w:tcPr>
          <w:p w14:paraId="16B6B229">
            <w:pPr>
              <w:keepNext w:val="0"/>
              <w:keepLines w:val="0"/>
              <w:widowControl/>
              <w:suppressLineNumbers w:val="0"/>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设施设备维修</w:t>
            </w:r>
          </w:p>
          <w:p w14:paraId="44B1807C">
            <w:pPr>
              <w:keepNext w:val="0"/>
              <w:keepLines w:val="0"/>
              <w:widowControl/>
              <w:suppressLineNumbers w:val="0"/>
              <w:ind w:left="0" w:leftChars="0" w:firstLine="0" w:firstLineChars="0"/>
              <w:jc w:val="center"/>
              <w:rPr>
                <w:vertAlign w:val="baseline"/>
              </w:rPr>
            </w:pPr>
            <w:r>
              <w:rPr>
                <w:rFonts w:hint="eastAsia" w:ascii="宋体" w:hAnsi="宋体" w:eastAsia="宋体" w:cs="宋体"/>
                <w:color w:val="000000"/>
                <w:kern w:val="0"/>
                <w:sz w:val="24"/>
                <w:szCs w:val="24"/>
                <w:lang w:val="en-US" w:eastAsia="zh-CN" w:bidi="ar"/>
              </w:rPr>
              <w:t>与维护方案</w:t>
            </w:r>
          </w:p>
        </w:tc>
        <w:tc>
          <w:tcPr>
            <w:tcW w:w="5250" w:type="dxa"/>
            <w:noWrap w:val="0"/>
            <w:vAlign w:val="center"/>
          </w:tcPr>
          <w:p w14:paraId="38C42050">
            <w:pPr>
              <w:keepNext w:val="0"/>
              <w:keepLines w:val="0"/>
              <w:widowControl/>
              <w:suppressLineNumbers w:val="0"/>
              <w:jc w:val="both"/>
            </w:pPr>
            <w:r>
              <w:rPr>
                <w:rFonts w:hint="eastAsia" w:ascii="宋体" w:hAnsi="宋体" w:eastAsia="宋体" w:cs="宋体"/>
                <w:color w:val="000000"/>
                <w:kern w:val="0"/>
                <w:sz w:val="24"/>
                <w:szCs w:val="24"/>
                <w:lang w:val="en-US" w:eastAsia="zh-CN" w:bidi="ar"/>
              </w:rPr>
              <w:t>评标委员会根据投标人提供的针对本项目设施设备维修与维护方案进行综合评分：</w:t>
            </w:r>
          </w:p>
          <w:p w14:paraId="20215371">
            <w:pPr>
              <w:keepNext w:val="0"/>
              <w:keepLines w:val="0"/>
              <w:widowControl/>
              <w:suppressLineNumbers w:val="0"/>
              <w:jc w:val="both"/>
            </w:pPr>
            <w:r>
              <w:rPr>
                <w:rFonts w:hint="eastAsia" w:ascii="宋体" w:hAnsi="宋体" w:eastAsia="宋体" w:cs="宋体"/>
                <w:color w:val="000000"/>
                <w:kern w:val="0"/>
                <w:sz w:val="24"/>
                <w:szCs w:val="24"/>
                <w:lang w:val="en-US" w:eastAsia="zh-CN" w:bidi="ar"/>
              </w:rPr>
              <w:t>方案优于招标文件要求，切合实际，提出建议合理、可操作性高的得 10≤F≤10 分；</w:t>
            </w:r>
          </w:p>
          <w:p w14:paraId="6E9E1AEC">
            <w:pPr>
              <w:keepNext w:val="0"/>
              <w:keepLines w:val="0"/>
              <w:widowControl/>
              <w:suppressLineNumbers w:val="0"/>
              <w:jc w:val="both"/>
            </w:pPr>
            <w:r>
              <w:rPr>
                <w:rFonts w:hint="eastAsia" w:ascii="宋体" w:hAnsi="宋体" w:eastAsia="宋体" w:cs="宋体"/>
                <w:color w:val="000000"/>
                <w:kern w:val="0"/>
                <w:sz w:val="24"/>
                <w:szCs w:val="24"/>
                <w:lang w:val="en-US" w:eastAsia="zh-CN" w:bidi="ar"/>
              </w:rPr>
              <w:t>基本满足上述要求、具有一定可行性的得 5≤F＜8 分；</w:t>
            </w:r>
          </w:p>
          <w:p w14:paraId="7F4FC33C">
            <w:pPr>
              <w:keepNext w:val="0"/>
              <w:keepLines w:val="0"/>
              <w:widowControl/>
              <w:suppressLineNumbers w:val="0"/>
              <w:jc w:val="both"/>
            </w:pPr>
            <w:r>
              <w:rPr>
                <w:rFonts w:hint="eastAsia" w:ascii="宋体" w:hAnsi="宋体" w:eastAsia="宋体" w:cs="宋体"/>
                <w:color w:val="000000"/>
                <w:kern w:val="0"/>
                <w:sz w:val="24"/>
                <w:szCs w:val="24"/>
                <w:lang w:val="en-US" w:eastAsia="zh-CN" w:bidi="ar"/>
              </w:rPr>
              <w:t>初步满足上述要求的得 1≤F＜5 分。</w:t>
            </w:r>
          </w:p>
          <w:p w14:paraId="2D8F5F23">
            <w:pPr>
              <w:keepNext w:val="0"/>
              <w:keepLines w:val="0"/>
              <w:widowControl/>
              <w:suppressLineNumbers w:val="0"/>
              <w:jc w:val="both"/>
            </w:pPr>
            <w:r>
              <w:rPr>
                <w:rFonts w:hint="eastAsia" w:ascii="宋体" w:hAnsi="宋体" w:eastAsia="宋体" w:cs="宋体"/>
                <w:color w:val="000000"/>
                <w:kern w:val="0"/>
                <w:sz w:val="24"/>
                <w:szCs w:val="24"/>
                <w:lang w:val="en-US" w:eastAsia="zh-CN" w:bidi="ar"/>
              </w:rPr>
              <w:t>其他或未提供的不得分。</w:t>
            </w:r>
          </w:p>
          <w:p w14:paraId="05F0E2CE">
            <w:pPr>
              <w:keepNext w:val="0"/>
              <w:keepLines w:val="0"/>
              <w:widowControl/>
              <w:suppressLineNumbers w:val="0"/>
              <w:jc w:val="both"/>
              <w:rPr>
                <w:vertAlign w:val="baseline"/>
              </w:rPr>
            </w:pPr>
            <w:r>
              <w:rPr>
                <w:rFonts w:hint="eastAsia" w:ascii="宋体" w:hAnsi="宋体" w:eastAsia="宋体" w:cs="宋体"/>
                <w:color w:val="000000"/>
                <w:kern w:val="0"/>
                <w:sz w:val="24"/>
                <w:szCs w:val="24"/>
                <w:lang w:val="en-US" w:eastAsia="zh-CN" w:bidi="ar"/>
              </w:rPr>
              <w:t>本项满分 10 分</w:t>
            </w:r>
          </w:p>
        </w:tc>
        <w:tc>
          <w:tcPr>
            <w:tcW w:w="1456" w:type="dxa"/>
            <w:noWrap w:val="0"/>
            <w:vAlign w:val="center"/>
          </w:tcPr>
          <w:p w14:paraId="632ECF45">
            <w:pPr>
              <w:widowControl w:val="0"/>
              <w:ind w:left="0" w:leftChars="0" w:firstLine="0" w:firstLineChars="0"/>
              <w:jc w:val="center"/>
              <w:rPr>
                <w:rFonts w:hint="default" w:eastAsia="宋体"/>
                <w:vertAlign w:val="baseline"/>
                <w:lang w:val="en-US" w:eastAsia="zh-CN"/>
              </w:rPr>
            </w:pPr>
            <w:r>
              <w:rPr>
                <w:rFonts w:hint="eastAsia"/>
                <w:vertAlign w:val="baseline"/>
                <w:lang w:val="en-US" w:eastAsia="zh-CN"/>
              </w:rPr>
              <w:t>10</w:t>
            </w:r>
          </w:p>
        </w:tc>
      </w:tr>
      <w:tr w14:paraId="707E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5B753939">
            <w:pPr>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5</w:t>
            </w:r>
          </w:p>
        </w:tc>
        <w:tc>
          <w:tcPr>
            <w:tcW w:w="2307" w:type="dxa"/>
            <w:noWrap w:val="0"/>
            <w:vAlign w:val="center"/>
          </w:tcPr>
          <w:p w14:paraId="61544521">
            <w:pPr>
              <w:keepNext w:val="0"/>
              <w:keepLines w:val="0"/>
              <w:widowControl/>
              <w:suppressLineNumbers w:val="0"/>
              <w:ind w:left="0" w:leftChars="0" w:firstLine="0" w:firstLineChars="0"/>
              <w:jc w:val="center"/>
              <w:rPr>
                <w:vertAlign w:val="baseline"/>
              </w:rPr>
            </w:pPr>
            <w:r>
              <w:rPr>
                <w:rFonts w:hint="eastAsia" w:ascii="宋体" w:hAnsi="宋体" w:eastAsia="宋体" w:cs="宋体"/>
                <w:color w:val="000000"/>
                <w:kern w:val="0"/>
                <w:sz w:val="24"/>
                <w:szCs w:val="24"/>
                <w:lang w:val="en-US" w:eastAsia="zh-CN" w:bidi="ar"/>
              </w:rPr>
              <w:t>日常管理方案</w:t>
            </w:r>
          </w:p>
        </w:tc>
        <w:tc>
          <w:tcPr>
            <w:tcW w:w="5250" w:type="dxa"/>
            <w:noWrap w:val="0"/>
            <w:vAlign w:val="top"/>
          </w:tcPr>
          <w:p w14:paraId="7D58D71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投标人提供的日常管理体系方案包含但不限于人事结构、岗位设置、岗位职责、规章制度等。 </w:t>
            </w:r>
          </w:p>
          <w:p w14:paraId="00F55B9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评标委员会根据投标人提供的管理方案进行综合评分： </w:t>
            </w:r>
          </w:p>
          <w:p w14:paraId="7DA394B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方案深入详细，科学合理的，得 8≤F≤10 分； </w:t>
            </w:r>
          </w:p>
          <w:p w14:paraId="04B73DE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方案具有一定实用性，符合项目要求的，得 5≤F＜8分； </w:t>
            </w:r>
          </w:p>
          <w:p w14:paraId="7B3EC24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方案一般的，得 1≤F＜5 分； </w:t>
            </w:r>
          </w:p>
          <w:p w14:paraId="43B2688C">
            <w:pPr>
              <w:keepNext w:val="0"/>
              <w:keepLines w:val="0"/>
              <w:widowControl/>
              <w:suppressLineNumbers w:val="0"/>
              <w:jc w:val="left"/>
              <w:rPr>
                <w:vertAlign w:val="baseline"/>
              </w:rPr>
            </w:pPr>
            <w:r>
              <w:rPr>
                <w:rFonts w:hint="eastAsia" w:ascii="宋体" w:hAnsi="宋体" w:eastAsia="宋体" w:cs="宋体"/>
                <w:color w:val="000000"/>
                <w:kern w:val="0"/>
                <w:sz w:val="24"/>
                <w:szCs w:val="24"/>
                <w:lang w:val="en-US" w:eastAsia="zh-CN" w:bidi="ar"/>
              </w:rPr>
              <w:t>其他或未提供不得分。</w:t>
            </w:r>
          </w:p>
        </w:tc>
        <w:tc>
          <w:tcPr>
            <w:tcW w:w="1456" w:type="dxa"/>
            <w:noWrap w:val="0"/>
            <w:vAlign w:val="center"/>
          </w:tcPr>
          <w:p w14:paraId="1D0C20A2">
            <w:pPr>
              <w:widowControl w:val="0"/>
              <w:ind w:left="0" w:leftChars="0" w:firstLine="0" w:firstLineChars="0"/>
              <w:jc w:val="center"/>
              <w:rPr>
                <w:rFonts w:hint="default" w:eastAsia="宋体"/>
                <w:vertAlign w:val="baseline"/>
                <w:lang w:val="en-US" w:eastAsia="zh-CN"/>
              </w:rPr>
            </w:pPr>
            <w:r>
              <w:rPr>
                <w:rFonts w:hint="eastAsia"/>
                <w:vertAlign w:val="baseline"/>
                <w:lang w:val="en-US" w:eastAsia="zh-CN"/>
              </w:rPr>
              <w:t>10</w:t>
            </w:r>
          </w:p>
        </w:tc>
      </w:tr>
      <w:tr w14:paraId="5880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17F9DC56">
            <w:pPr>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6</w:t>
            </w:r>
          </w:p>
        </w:tc>
        <w:tc>
          <w:tcPr>
            <w:tcW w:w="2307" w:type="dxa"/>
            <w:noWrap w:val="0"/>
            <w:vAlign w:val="center"/>
          </w:tcPr>
          <w:p w14:paraId="672F5276">
            <w:pPr>
              <w:keepNext w:val="0"/>
              <w:keepLines w:val="0"/>
              <w:widowControl/>
              <w:suppressLineNumbers w:val="0"/>
              <w:ind w:left="0" w:leftChars="0" w:firstLine="0" w:firstLineChars="0"/>
              <w:jc w:val="center"/>
            </w:pPr>
            <w:r>
              <w:rPr>
                <w:rFonts w:hint="eastAsia" w:ascii="宋体" w:hAnsi="宋体" w:eastAsia="宋体" w:cs="宋体"/>
                <w:color w:val="000000"/>
                <w:kern w:val="0"/>
                <w:sz w:val="24"/>
                <w:szCs w:val="24"/>
                <w:lang w:val="en-US" w:eastAsia="zh-CN" w:bidi="ar"/>
              </w:rPr>
              <w:t>安全保障方案</w:t>
            </w:r>
          </w:p>
          <w:p w14:paraId="467EE791">
            <w:pPr>
              <w:widowControl w:val="0"/>
              <w:ind w:left="0" w:leftChars="0" w:firstLine="0" w:firstLineChars="0"/>
              <w:jc w:val="center"/>
              <w:rPr>
                <w:vertAlign w:val="baseline"/>
              </w:rPr>
            </w:pPr>
          </w:p>
        </w:tc>
        <w:tc>
          <w:tcPr>
            <w:tcW w:w="5250" w:type="dxa"/>
            <w:noWrap w:val="0"/>
            <w:vAlign w:val="top"/>
          </w:tcPr>
          <w:p w14:paraId="5362776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评标委员会根据投标人提供的针对项目运营中可能出现的安全生产管理方面的保证措施、处理方案等内容进行综合评分。 </w:t>
            </w:r>
          </w:p>
          <w:p w14:paraId="0D8A885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方案贴近实际，内容详细、清晰、完善、合理，可操作性强的得 6≤F≤8 分； </w:t>
            </w:r>
          </w:p>
          <w:p w14:paraId="7ED3916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基本满足上述要求、具有一定可行性的得 3≤F＜6 分； </w:t>
            </w:r>
          </w:p>
          <w:p w14:paraId="549E435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初步满足上述要求的得 1≤F＜3 分。 </w:t>
            </w:r>
          </w:p>
          <w:p w14:paraId="66A45426">
            <w:pPr>
              <w:keepNext w:val="0"/>
              <w:keepLines w:val="0"/>
              <w:widowControl/>
              <w:suppressLineNumbers w:val="0"/>
              <w:jc w:val="left"/>
              <w:rPr>
                <w:vertAlign w:val="baseline"/>
              </w:rPr>
            </w:pPr>
            <w:r>
              <w:rPr>
                <w:rFonts w:hint="eastAsia" w:ascii="宋体" w:hAnsi="宋体" w:eastAsia="宋体" w:cs="宋体"/>
                <w:color w:val="000000"/>
                <w:kern w:val="0"/>
                <w:sz w:val="24"/>
                <w:szCs w:val="24"/>
                <w:lang w:val="en-US" w:eastAsia="zh-CN" w:bidi="ar"/>
              </w:rPr>
              <w:t>不满足或未提供的不得分。</w:t>
            </w:r>
          </w:p>
        </w:tc>
        <w:tc>
          <w:tcPr>
            <w:tcW w:w="1456" w:type="dxa"/>
            <w:noWrap w:val="0"/>
            <w:vAlign w:val="center"/>
          </w:tcPr>
          <w:p w14:paraId="59C6A06F">
            <w:pPr>
              <w:widowControl w:val="0"/>
              <w:jc w:val="both"/>
              <w:rPr>
                <w:rFonts w:hint="default" w:eastAsia="宋体"/>
                <w:vertAlign w:val="baseline"/>
                <w:lang w:val="en-US" w:eastAsia="zh-CN"/>
              </w:rPr>
            </w:pPr>
            <w:r>
              <w:rPr>
                <w:rFonts w:hint="eastAsia"/>
                <w:vertAlign w:val="baseline"/>
                <w:lang w:val="en-US" w:eastAsia="zh-CN"/>
              </w:rPr>
              <w:t>10</w:t>
            </w:r>
          </w:p>
        </w:tc>
      </w:tr>
      <w:tr w14:paraId="2812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5458E680">
            <w:pPr>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7</w:t>
            </w:r>
          </w:p>
        </w:tc>
        <w:tc>
          <w:tcPr>
            <w:tcW w:w="2307" w:type="dxa"/>
            <w:noWrap w:val="0"/>
            <w:vAlign w:val="center"/>
          </w:tcPr>
          <w:p w14:paraId="4F4901AC">
            <w:pPr>
              <w:keepNext w:val="0"/>
              <w:keepLines w:val="0"/>
              <w:widowControl/>
              <w:suppressLineNumbers w:val="0"/>
              <w:ind w:left="0" w:leftChars="0" w:firstLine="0" w:firstLineChars="0"/>
              <w:jc w:val="center"/>
              <w:rPr>
                <w:vertAlign w:val="baseline"/>
              </w:rPr>
            </w:pPr>
            <w:r>
              <w:rPr>
                <w:rFonts w:hint="eastAsia" w:ascii="宋体" w:hAnsi="宋体" w:eastAsia="宋体" w:cs="宋体"/>
                <w:color w:val="000000"/>
                <w:kern w:val="0"/>
                <w:sz w:val="24"/>
                <w:szCs w:val="24"/>
                <w:lang w:val="en-US" w:eastAsia="zh-CN" w:bidi="ar"/>
              </w:rPr>
              <w:t>应急处理方案</w:t>
            </w:r>
          </w:p>
        </w:tc>
        <w:tc>
          <w:tcPr>
            <w:tcW w:w="5250" w:type="dxa"/>
            <w:noWrap w:val="0"/>
            <w:vAlign w:val="top"/>
          </w:tcPr>
          <w:p w14:paraId="3AD8286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评标委员会根据投标人提供的针对项目运营中可能出现的突发事件的应急处理方案等内容进行综合评分。 </w:t>
            </w:r>
          </w:p>
          <w:p w14:paraId="489EACC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方案贴近实际，内容详细、清晰、完善、合理，可操 </w:t>
            </w:r>
          </w:p>
          <w:p w14:paraId="3AF0E1E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作性强的得 6≤F≤8 分； </w:t>
            </w:r>
          </w:p>
          <w:p w14:paraId="152BC55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基本满足上述要求、具有一定可行性的得 3≤F＜6 分； </w:t>
            </w:r>
          </w:p>
          <w:p w14:paraId="5298B01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初步满足上述要求的得 1≤F＜3 分。 </w:t>
            </w:r>
          </w:p>
          <w:p w14:paraId="3022B23A">
            <w:pPr>
              <w:keepNext w:val="0"/>
              <w:keepLines w:val="0"/>
              <w:widowControl/>
              <w:suppressLineNumbers w:val="0"/>
              <w:jc w:val="left"/>
              <w:rPr>
                <w:vertAlign w:val="baseline"/>
              </w:rPr>
            </w:pPr>
            <w:r>
              <w:rPr>
                <w:rFonts w:hint="eastAsia" w:ascii="宋体" w:hAnsi="宋体" w:eastAsia="宋体" w:cs="宋体"/>
                <w:color w:val="000000"/>
                <w:kern w:val="0"/>
                <w:sz w:val="24"/>
                <w:szCs w:val="24"/>
                <w:lang w:val="en-US" w:eastAsia="zh-CN" w:bidi="ar"/>
              </w:rPr>
              <w:t>不满足或未提供的不得分。</w:t>
            </w:r>
          </w:p>
        </w:tc>
        <w:tc>
          <w:tcPr>
            <w:tcW w:w="1456" w:type="dxa"/>
            <w:noWrap w:val="0"/>
            <w:vAlign w:val="center"/>
          </w:tcPr>
          <w:p w14:paraId="743608A8">
            <w:pPr>
              <w:widowControl w:val="0"/>
              <w:jc w:val="both"/>
              <w:rPr>
                <w:rFonts w:hint="default" w:eastAsia="宋体"/>
                <w:vertAlign w:val="baseline"/>
                <w:lang w:val="en-US" w:eastAsia="zh-CN"/>
              </w:rPr>
            </w:pPr>
            <w:r>
              <w:rPr>
                <w:rFonts w:hint="eastAsia"/>
                <w:vertAlign w:val="baseline"/>
                <w:lang w:val="en-US" w:eastAsia="zh-CN"/>
              </w:rPr>
              <w:t>10</w:t>
            </w:r>
          </w:p>
        </w:tc>
      </w:tr>
      <w:tr w14:paraId="355A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5E1A9CFE">
            <w:pPr>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8</w:t>
            </w:r>
          </w:p>
        </w:tc>
        <w:tc>
          <w:tcPr>
            <w:tcW w:w="2307" w:type="dxa"/>
            <w:noWrap w:val="0"/>
            <w:vAlign w:val="center"/>
          </w:tcPr>
          <w:p w14:paraId="283E363E">
            <w:pPr>
              <w:keepNext w:val="0"/>
              <w:keepLines w:val="0"/>
              <w:widowControl/>
              <w:suppressLineNumbers w:val="0"/>
              <w:ind w:left="0" w:leftChars="0" w:firstLine="240" w:firstLineChars="100"/>
              <w:jc w:val="both"/>
              <w:rPr>
                <w:vertAlign w:val="baseline"/>
              </w:rPr>
            </w:pPr>
            <w:r>
              <w:rPr>
                <w:rFonts w:hint="eastAsia" w:ascii="宋体" w:hAnsi="宋体" w:eastAsia="宋体" w:cs="宋体"/>
                <w:color w:val="000000"/>
                <w:kern w:val="0"/>
                <w:sz w:val="24"/>
                <w:szCs w:val="24"/>
                <w:lang w:val="en-US" w:eastAsia="zh-CN" w:bidi="ar"/>
              </w:rPr>
              <w:t>惠民服务方案</w:t>
            </w:r>
          </w:p>
        </w:tc>
        <w:tc>
          <w:tcPr>
            <w:tcW w:w="5250" w:type="dxa"/>
            <w:noWrap w:val="0"/>
            <w:vAlign w:val="top"/>
          </w:tcPr>
          <w:p w14:paraId="3D54051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评标委员会根据投标人提供的场馆惠民的服务方案，包括但不限于各种场馆免费时段设置等措施进行综合评分。 </w:t>
            </w:r>
          </w:p>
          <w:p w14:paraId="7FADAF4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方案优于招标需求，详细完善、优惠力度大的得 6≤F≤8 分； </w:t>
            </w:r>
          </w:p>
          <w:p w14:paraId="209F08F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基本满足上述要求、具有一定可行性的得 3≤F＜6 分； </w:t>
            </w:r>
          </w:p>
          <w:p w14:paraId="6021353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初步满足上述要求的得 1≤F＜3 分。 </w:t>
            </w:r>
          </w:p>
          <w:p w14:paraId="1B9E4E24">
            <w:pPr>
              <w:keepNext w:val="0"/>
              <w:keepLines w:val="0"/>
              <w:widowControl/>
              <w:suppressLineNumbers w:val="0"/>
              <w:jc w:val="left"/>
              <w:rPr>
                <w:vertAlign w:val="baseline"/>
              </w:rPr>
            </w:pPr>
            <w:r>
              <w:rPr>
                <w:rFonts w:hint="eastAsia" w:ascii="宋体" w:hAnsi="宋体" w:eastAsia="宋体" w:cs="宋体"/>
                <w:color w:val="000000"/>
                <w:kern w:val="0"/>
                <w:sz w:val="24"/>
                <w:szCs w:val="24"/>
                <w:lang w:val="en-US" w:eastAsia="zh-CN" w:bidi="ar"/>
              </w:rPr>
              <w:t>不满足或未提供的不得分。</w:t>
            </w:r>
          </w:p>
        </w:tc>
        <w:tc>
          <w:tcPr>
            <w:tcW w:w="1456" w:type="dxa"/>
            <w:noWrap w:val="0"/>
            <w:vAlign w:val="center"/>
          </w:tcPr>
          <w:p w14:paraId="460530D7">
            <w:pPr>
              <w:widowControl w:val="0"/>
              <w:ind w:left="0" w:leftChars="0" w:firstLine="0" w:firstLineChars="0"/>
              <w:jc w:val="center"/>
              <w:rPr>
                <w:rFonts w:hint="default" w:eastAsia="宋体"/>
                <w:vertAlign w:val="baseline"/>
                <w:lang w:val="en-US" w:eastAsia="zh-CN"/>
              </w:rPr>
            </w:pPr>
            <w:r>
              <w:rPr>
                <w:rFonts w:hint="eastAsia"/>
                <w:vertAlign w:val="baseline"/>
                <w:lang w:val="en-US" w:eastAsia="zh-CN"/>
              </w:rPr>
              <w:t>10</w:t>
            </w:r>
          </w:p>
        </w:tc>
      </w:tr>
      <w:tr w14:paraId="3A28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2D9DC52D">
            <w:pPr>
              <w:widowControl w:val="0"/>
              <w:ind w:left="0" w:leftChars="0" w:firstLine="0" w:firstLineChars="0"/>
              <w:jc w:val="center"/>
              <w:rPr>
                <w:rFonts w:hint="eastAsia" w:eastAsia="宋体"/>
                <w:vertAlign w:val="baseline"/>
                <w:lang w:val="en-US" w:eastAsia="zh-CN"/>
              </w:rPr>
            </w:pPr>
            <w:r>
              <w:rPr>
                <w:rFonts w:hint="eastAsia"/>
                <w:vertAlign w:val="baseline"/>
                <w:lang w:val="en-US" w:eastAsia="zh-CN"/>
              </w:rPr>
              <w:t>9</w:t>
            </w:r>
          </w:p>
        </w:tc>
        <w:tc>
          <w:tcPr>
            <w:tcW w:w="2307" w:type="dxa"/>
            <w:noWrap w:val="0"/>
            <w:vAlign w:val="center"/>
          </w:tcPr>
          <w:p w14:paraId="06B43609">
            <w:pPr>
              <w:keepNext w:val="0"/>
              <w:keepLines w:val="0"/>
              <w:widowControl/>
              <w:suppressLineNumbers w:val="0"/>
              <w:jc w:val="left"/>
              <w:rPr>
                <w:vertAlign w:val="baseline"/>
              </w:rPr>
            </w:pPr>
            <w:r>
              <w:rPr>
                <w:rFonts w:hint="eastAsia" w:ascii="宋体" w:hAnsi="宋体" w:eastAsia="宋体" w:cs="宋体"/>
                <w:color w:val="000000"/>
                <w:kern w:val="0"/>
                <w:sz w:val="24"/>
                <w:szCs w:val="24"/>
                <w:lang w:val="en-US" w:eastAsia="zh-CN" w:bidi="ar"/>
              </w:rPr>
              <w:t>运营方案</w:t>
            </w:r>
          </w:p>
        </w:tc>
        <w:tc>
          <w:tcPr>
            <w:tcW w:w="5250" w:type="dxa"/>
            <w:noWrap w:val="0"/>
            <w:vAlign w:val="top"/>
          </w:tcPr>
          <w:p w14:paraId="22111B5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投标人提供运营方案包含但不限于：服务定位、业务体系和产品、市场定价、中标后赛事活动、开放时间等。 </w:t>
            </w:r>
          </w:p>
          <w:p w14:paraId="021A2431">
            <w:pPr>
              <w:keepNext w:val="0"/>
              <w:keepLines w:val="0"/>
              <w:widowControl/>
              <w:suppressLineNumbers w:val="0"/>
              <w:jc w:val="left"/>
            </w:pPr>
            <w:r>
              <w:rPr>
                <w:rFonts w:hint="eastAsia" w:ascii="宋体" w:hAnsi="宋体" w:eastAsia="宋体" w:cs="宋体"/>
                <w:color w:val="000000"/>
                <w:kern w:val="0"/>
                <w:sz w:val="24"/>
                <w:szCs w:val="24"/>
                <w:lang w:val="en-US" w:eastAsia="zh-CN" w:bidi="ar"/>
              </w:rPr>
              <w:t>评标委员会根据投标人提供的运营方案进行综合评分：</w:t>
            </w:r>
          </w:p>
          <w:p w14:paraId="7EA376D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方案深入详细，科学合理的，得 8≤F≤10 分； </w:t>
            </w:r>
          </w:p>
          <w:p w14:paraId="581D34C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方案具有一定实用性，符合项目要求的，得 5≤F＜8分； </w:t>
            </w:r>
          </w:p>
          <w:p w14:paraId="35DDDA4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方案一般的，得 1≤F＜5 分； </w:t>
            </w:r>
          </w:p>
          <w:p w14:paraId="51F5E68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其他或未提供不得分。 </w:t>
            </w:r>
          </w:p>
          <w:p w14:paraId="2426250A">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本项满分 10 分</w:t>
            </w:r>
          </w:p>
        </w:tc>
        <w:tc>
          <w:tcPr>
            <w:tcW w:w="1456" w:type="dxa"/>
            <w:noWrap w:val="0"/>
            <w:vAlign w:val="center"/>
          </w:tcPr>
          <w:p w14:paraId="22E0E586">
            <w:pPr>
              <w:widowControl w:val="0"/>
              <w:ind w:left="0" w:leftChars="0" w:firstLine="0" w:firstLineChars="0"/>
              <w:jc w:val="center"/>
              <w:rPr>
                <w:rFonts w:hint="default" w:eastAsia="宋体"/>
                <w:vertAlign w:val="baseline"/>
                <w:lang w:val="en-US" w:eastAsia="zh-CN"/>
              </w:rPr>
            </w:pPr>
            <w:r>
              <w:rPr>
                <w:rFonts w:hint="eastAsia"/>
                <w:vertAlign w:val="baseline"/>
                <w:lang w:val="en-US" w:eastAsia="zh-CN"/>
              </w:rPr>
              <w:t>10</w:t>
            </w:r>
          </w:p>
        </w:tc>
      </w:tr>
    </w:tbl>
    <w:p w14:paraId="3D09F594">
      <w:r>
        <w:br w:type="page"/>
      </w:r>
    </w:p>
    <w:p w14:paraId="0EEE44D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C3CF0"/>
    <w:rsid w:val="1318764B"/>
    <w:rsid w:val="2F0C3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562" w:firstLineChars="200"/>
    </w:pPr>
    <w:rPr>
      <w:rFonts w:ascii="宋体" w:hAnsi="宋体" w:eastAsia="宋体" w:cs="宋体"/>
      <w:sz w:val="24"/>
      <w:szCs w:val="24"/>
      <w:lang w:val="en-US" w:eastAsia="en-US" w:bidi="en-US"/>
    </w:rPr>
  </w:style>
  <w:style w:type="paragraph" w:styleId="4">
    <w:name w:val="heading 2"/>
    <w:basedOn w:val="1"/>
    <w:next w:val="1"/>
    <w:semiHidden/>
    <w:unhideWhenUsed/>
    <w:qFormat/>
    <w:uiPriority w:val="0"/>
    <w:pPr>
      <w:keepNext/>
      <w:keepLines/>
      <w:spacing w:line="360" w:lineRule="auto"/>
      <w:ind w:firstLine="643" w:firstLineChars="200"/>
      <w:jc w:val="left"/>
      <w:outlineLvl w:val="1"/>
    </w:pPr>
    <w:rPr>
      <w:rFonts w:ascii="宋体" w:hAnsi="宋体" w:eastAsia="宋体" w:cstheme="minorBidi"/>
      <w:b/>
      <w:bCs/>
      <w:color w:val="000000" w:themeColor="text1"/>
      <w:sz w:val="28"/>
      <w:szCs w:val="28"/>
      <w:lang w:eastAsia="en-US"/>
      <w14:textFill>
        <w14:solidFill>
          <w14:schemeClr w14:val="tx1"/>
        </w14:solidFill>
      </w14:textFill>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1228</Words>
  <Characters>1257</Characters>
  <Lines>0</Lines>
  <Paragraphs>0</Paragraphs>
  <TotalTime>0</TotalTime>
  <ScaleCrop>false</ScaleCrop>
  <LinksUpToDate>false</LinksUpToDate>
  <CharactersWithSpaces>1341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2026-02-04T06:37:00Z</dcterms:created>
  <dc:creator>Feel</dc:creator>
  <cp:lastModifiedBy>一大碗</cp:lastModifiedBy>
  <dcterms:modified xsi:type="dcterms:W3CDTF">2026-02-05T01:17:08Z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B702EF76ED444FB98823B43A471659A0_13</vt:lpwstr>
  </property>
  <property fmtid="{D5CDD505-2E9C-101B-9397-08002B2CF9AE}" pid="4" name="KSOTemplateDocerSaveRecord">
    <vt:lpwstr>eyJoZGlkIjoiZDU5NzRhNTVkZmUzMzAwMjM0ZjM1MjJkMTM4MzEzOWIiLCJ1c2VySWQiOiI5NTE1NzM3NDYifQ==</vt:lpwstr>
  </property>
</Properties>
</file>